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87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5" w:hRule="atLeast"/>
        </w:trPr>
        <w:tc>
          <w:tcPr>
            <w:tcW w:w="8724" w:type="dxa"/>
          </w:tcPr>
          <w:p>
            <w:pPr>
              <w:pStyle w:val="3"/>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b/>
                <w:bCs/>
                <w:color w:val="FF0000"/>
                <w:sz w:val="22"/>
                <w:szCs w:val="2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2" w:hRule="atLeast"/>
        </w:trPr>
        <w:tc>
          <w:tcPr>
            <w:tcW w:w="8724" w:type="dxa"/>
          </w:tcPr>
          <w:p>
            <w:pPr>
              <w:pStyle w:val="10"/>
              <w:jc w:val="center"/>
              <w:rPr>
                <w:rFonts w:hint="eastAsia" w:ascii="宋体" w:hAnsi="宋体" w:eastAsia="宋体" w:cs="宋体"/>
                <w:b/>
                <w:bCs/>
                <w:sz w:val="52"/>
                <w:szCs w:val="52"/>
                <w:lang w:val="en-US" w:eastAsia="zh-CN"/>
              </w:rPr>
            </w:pPr>
            <w:r>
              <w:rPr>
                <w:rFonts w:hint="eastAsia" w:ascii="宋体" w:hAnsi="宋体" w:eastAsia="宋体" w:cs="宋体"/>
                <w:b/>
                <w:bCs/>
                <w:sz w:val="52"/>
                <w:szCs w:val="52"/>
                <w:lang w:val="en-US" w:eastAsia="zh-CN"/>
              </w:rPr>
              <w:t>2020年度</w:t>
            </w:r>
          </w:p>
          <w:p>
            <w:pPr>
              <w:pStyle w:val="10"/>
              <w:jc w:val="center"/>
              <w:rPr>
                <w:rFonts w:hint="default" w:ascii="宋体" w:hAnsi="宋体" w:eastAsia="宋体" w:cs="宋体"/>
                <w:b/>
                <w:bCs/>
                <w:sz w:val="52"/>
                <w:szCs w:val="52"/>
                <w:lang w:val="en-US" w:eastAsia="zh-CN"/>
              </w:rPr>
            </w:pPr>
            <w:r>
              <w:rPr>
                <w:rFonts w:hint="default" w:ascii="宋体" w:hAnsi="宋体" w:eastAsia="宋体" w:cs="宋体"/>
                <w:b/>
                <w:bCs/>
                <w:sz w:val="52"/>
                <w:szCs w:val="52"/>
                <w:lang w:val="en-US" w:eastAsia="zh-CN"/>
              </w:rPr>
              <w:t>衡阳幼儿师范高等专科学校</w:t>
            </w:r>
            <w:r>
              <w:rPr>
                <w:rFonts w:ascii="宋体" w:hAnsi="宋体" w:eastAsia="宋体" w:cs="宋体"/>
                <w:b/>
                <w:sz w:val="52"/>
              </w:rPr>
              <w:t>部门</w:t>
            </w:r>
            <w:r>
              <w:rPr>
                <w:rFonts w:hint="eastAsia" w:ascii="宋体" w:hAnsi="宋体" w:eastAsia="宋体" w:cs="宋体"/>
                <w:b/>
                <w:bCs/>
                <w:sz w:val="52"/>
                <w:szCs w:val="52"/>
                <w:lang w:val="en-US" w:eastAsia="zh-CN"/>
              </w:rPr>
              <w:t>决算</w:t>
            </w:r>
          </w:p>
          <w:p>
            <w:pPr>
              <w:pStyle w:val="10"/>
              <w:jc w:val="center"/>
              <w:rPr>
                <w:rFonts w:hint="default" w:ascii="宋体" w:hAnsi="宋体" w:eastAsia="宋体" w:cs="宋体"/>
                <w:b/>
                <w:bCs/>
                <w:sz w:val="52"/>
                <w:szCs w:val="5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2" w:hRule="atLeast"/>
        </w:trPr>
        <w:tc>
          <w:tcPr>
            <w:tcW w:w="8724" w:type="dxa"/>
          </w:tcPr>
          <w:p>
            <w:pPr>
              <w:pStyle w:val="10"/>
              <w:jc w:val="both"/>
              <w:rPr>
                <w:rFonts w:hint="eastAsia"/>
                <w:sz w:val="44"/>
                <w:szCs w:val="44"/>
                <w:vertAlign w:val="baseline"/>
                <w:lang w:val="en-US" w:eastAsia="zh-CN"/>
              </w:rPr>
            </w:pPr>
          </w:p>
        </w:tc>
      </w:tr>
    </w:tbl>
    <w:p>
      <w:pPr>
        <w:pStyle w:val="10"/>
        <w:rPr>
          <w:rFonts w:hint="eastAsia"/>
          <w:sz w:val="32"/>
          <w:szCs w:val="32"/>
        </w:rPr>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pPr>
    </w:p>
    <w:p>
      <w:pPr>
        <w:pStyle w:val="10"/>
        <w:spacing w:line="500" w:lineRule="exact"/>
        <w:jc w:val="center"/>
        <w:rPr>
          <w:rFonts w:hint="eastAsia" w:ascii="仿宋" w:hAnsi="仿宋" w:eastAsia="仿宋" w:cs="仿宋"/>
          <w:b/>
          <w:sz w:val="32"/>
          <w:szCs w:val="32"/>
        </w:rPr>
      </w:pPr>
      <w:r>
        <w:rPr>
          <w:rFonts w:hint="eastAsia" w:ascii="仿宋" w:hAnsi="仿宋" w:eastAsia="仿宋" w:cs="仿宋"/>
          <w:b/>
          <w:sz w:val="32"/>
          <w:szCs w:val="32"/>
        </w:rPr>
        <w:t>目录</w:t>
      </w:r>
    </w:p>
    <w:p>
      <w:pPr>
        <w:pStyle w:val="10"/>
        <w:keepNext w:val="0"/>
        <w:keepLines w:val="0"/>
        <w:pageBreakBefore w:val="0"/>
        <w:widowControl w:val="0"/>
        <w:kinsoku/>
        <w:wordWrap/>
        <w:overflowPunct/>
        <w:topLinePunct w:val="0"/>
        <w:bidi w:val="0"/>
        <w:adjustRightInd/>
        <w:snapToGrid/>
        <w:spacing w:line="440" w:lineRule="exact"/>
        <w:textAlignment w:val="auto"/>
        <w:rPr>
          <w:rFonts w:hint="eastAsia" w:ascii="仿宋" w:hAnsi="仿宋" w:eastAsia="仿宋" w:cs="仿宋"/>
          <w:b/>
          <w:sz w:val="28"/>
          <w:szCs w:val="28"/>
        </w:rPr>
      </w:pPr>
      <w:r>
        <w:rPr>
          <w:rFonts w:hint="eastAsia" w:ascii="仿宋" w:hAnsi="仿宋" w:eastAsia="仿宋" w:cs="仿宋"/>
          <w:b/>
          <w:sz w:val="28"/>
          <w:szCs w:val="28"/>
        </w:rPr>
        <w:t>第一部分</w:t>
      </w:r>
      <w:r>
        <w:rPr>
          <w:rFonts w:ascii="仿宋" w:hAnsi="仿宋" w:eastAsia="仿宋" w:cs="仿宋"/>
          <w:b/>
          <w:sz w:val="28"/>
        </w:rPr>
        <w:t>衡阳幼儿师范高等专科学校部门概况</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w:t>
      </w:r>
      <w:r>
        <w:rPr>
          <w:rFonts w:ascii="仿宋" w:hAnsi="仿宋" w:eastAsia="仿宋" w:cs="仿宋"/>
          <w:sz w:val="28"/>
        </w:rPr>
        <w:t>部门职责</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二、机构设置</w:t>
      </w:r>
    </w:p>
    <w:p>
      <w:pPr>
        <w:pStyle w:val="10"/>
        <w:keepNext w:val="0"/>
        <w:keepLines w:val="0"/>
        <w:pageBreakBefore w:val="0"/>
        <w:widowControl w:val="0"/>
        <w:kinsoku/>
        <w:wordWrap/>
        <w:overflowPunct/>
        <w:topLinePunct w:val="0"/>
        <w:bidi w:val="0"/>
        <w:adjustRightInd/>
        <w:snapToGrid/>
        <w:spacing w:line="440" w:lineRule="exact"/>
        <w:textAlignment w:val="auto"/>
        <w:rPr>
          <w:rFonts w:hint="eastAsia" w:ascii="仿宋" w:hAnsi="仿宋" w:eastAsia="仿宋" w:cs="仿宋"/>
          <w:b/>
          <w:sz w:val="28"/>
          <w:szCs w:val="28"/>
        </w:rPr>
      </w:pPr>
      <w:r>
        <w:rPr>
          <w:rFonts w:hint="eastAsia" w:ascii="仿宋" w:hAnsi="仿宋" w:eastAsia="仿宋" w:cs="仿宋"/>
          <w:b/>
          <w:sz w:val="28"/>
          <w:szCs w:val="28"/>
        </w:rPr>
        <w:t>第二部分2020年度部门决算表</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一、收入支出决算总表</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二、收入决算表</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三、支出决算表</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四、财政拨款收入支出决算总表</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五、一般公共预算财政拨款支出决算表</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六、一般公共预算财政拨款基本支出决算表</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七、一般公共预算财政拨款“三公”经费支出决算表</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八、政府性基金预算财政拨款收入支出决算表</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九、国有资本经营预算财政拨款支出决算表</w:t>
      </w:r>
    </w:p>
    <w:p>
      <w:pPr>
        <w:pStyle w:val="10"/>
        <w:keepNext w:val="0"/>
        <w:keepLines w:val="0"/>
        <w:pageBreakBefore w:val="0"/>
        <w:widowControl w:val="0"/>
        <w:kinsoku/>
        <w:wordWrap/>
        <w:overflowPunct/>
        <w:topLinePunct w:val="0"/>
        <w:bidi w:val="0"/>
        <w:adjustRightInd/>
        <w:snapToGrid/>
        <w:spacing w:line="440" w:lineRule="exact"/>
        <w:textAlignment w:val="auto"/>
        <w:rPr>
          <w:rFonts w:hint="eastAsia" w:ascii="仿宋" w:hAnsi="仿宋" w:eastAsia="仿宋" w:cs="仿宋"/>
          <w:b/>
          <w:sz w:val="28"/>
          <w:szCs w:val="28"/>
        </w:rPr>
      </w:pPr>
      <w:r>
        <w:rPr>
          <w:rFonts w:hint="eastAsia" w:ascii="仿宋" w:hAnsi="仿宋" w:eastAsia="仿宋" w:cs="仿宋"/>
          <w:b/>
          <w:sz w:val="28"/>
          <w:szCs w:val="28"/>
        </w:rPr>
        <w:t>第三部分2020年度部门决算情况说明</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一、收入支出决算总体情况说明</w:t>
      </w:r>
    </w:p>
    <w:p>
      <w:pPr>
        <w:keepNext w:val="0"/>
        <w:keepLines w:val="0"/>
        <w:pageBreakBefore w:val="0"/>
        <w:widowControl w:val="0"/>
        <w:kinsoku/>
        <w:wordWrap/>
        <w:overflowPunct/>
        <w:topLinePunct w:val="0"/>
        <w:bidi w:val="0"/>
        <w:adjustRightInd/>
        <w:snapToGrid/>
        <w:spacing w:line="44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二、收入决算情况说明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九、关于机关运行经费支出说明</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十、一般性支出情况</w:t>
      </w:r>
    </w:p>
    <w:p>
      <w:pPr>
        <w:keepNext w:val="0"/>
        <w:keepLines w:val="0"/>
        <w:pageBreakBefore w:val="0"/>
        <w:widowControl w:val="0"/>
        <w:kinsoku/>
        <w:wordWrap/>
        <w:overflowPunct/>
        <w:topLinePunct w:val="0"/>
        <w:autoSpaceDE w:val="0"/>
        <w:autoSpaceDN w:val="0"/>
        <w:bidi w:val="0"/>
        <w:adjustRightInd/>
        <w:snapToGrid/>
        <w:spacing w:line="440" w:lineRule="exact"/>
        <w:ind w:firstLine="560" w:firstLineChars="200"/>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十一、关于政府采购支出说明</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十二、关于国有资产占用情况说明</w:t>
      </w:r>
    </w:p>
    <w:p>
      <w:pPr>
        <w:pStyle w:val="10"/>
        <w:keepNext w:val="0"/>
        <w:keepLines w:val="0"/>
        <w:pageBreakBefore w:val="0"/>
        <w:widowControl w:val="0"/>
        <w:kinsoku/>
        <w:wordWrap/>
        <w:overflowPunct/>
        <w:topLinePunct w:val="0"/>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十三、关于2020年度预算绩效情况的说明</w:t>
      </w:r>
    </w:p>
    <w:p>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第四部分名词解释</w:t>
      </w:r>
    </w:p>
    <w:p>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仿宋" w:hAnsi="仿宋" w:eastAsia="仿宋" w:cs="仿宋"/>
          <w:b/>
          <w:color w:val="000000"/>
          <w:kern w:val="0"/>
          <w:sz w:val="28"/>
          <w:szCs w:val="28"/>
        </w:rPr>
      </w:pPr>
      <w:r>
        <w:rPr>
          <w:rFonts w:ascii="仿宋" w:hAnsi="仿宋" w:eastAsia="仿宋" w:cs="仿宋"/>
          <w:b/>
          <w:color w:val="000000"/>
          <w:sz w:val="28"/>
        </w:rPr>
        <w:t>第</w:t>
      </w:r>
      <w:r>
        <w:rPr>
          <w:rFonts w:hint="eastAsia" w:ascii="仿宋" w:hAnsi="仿宋" w:eastAsia="仿宋" w:cs="仿宋"/>
          <w:b/>
          <w:color w:val="000000"/>
          <w:kern w:val="0"/>
          <w:sz w:val="28"/>
          <w:szCs w:val="28"/>
          <w:lang w:val="en-US" w:eastAsia="zh-CN"/>
        </w:rPr>
        <w:t>五</w:t>
      </w:r>
      <w:r>
        <w:rPr>
          <w:rFonts w:hint="eastAsia" w:ascii="仿宋" w:hAnsi="仿宋" w:eastAsia="仿宋" w:cs="仿宋"/>
          <w:b/>
          <w:color w:val="000000"/>
          <w:kern w:val="0"/>
          <w:sz w:val="28"/>
          <w:szCs w:val="28"/>
        </w:rPr>
        <w:t>部分</w:t>
      </w:r>
      <w:r>
        <w:rPr>
          <w:rFonts w:hint="eastAsia" w:ascii="仿宋" w:hAnsi="仿宋" w:eastAsia="仿宋" w:cs="仿宋"/>
          <w:b/>
          <w:color w:val="000000"/>
          <w:kern w:val="0"/>
          <w:sz w:val="28"/>
          <w:szCs w:val="28"/>
          <w:lang w:val="en-US" w:eastAsia="zh-CN"/>
        </w:rPr>
        <w:t>附件</w:t>
      </w:r>
    </w:p>
    <w:p>
      <w:pPr>
        <w:keepNext w:val="0"/>
        <w:keepLines w:val="0"/>
        <w:pageBreakBefore w:val="0"/>
        <w:widowControl w:val="0"/>
        <w:kinsoku/>
        <w:wordWrap/>
        <w:overflowPunct/>
        <w:topLinePunct w:val="0"/>
        <w:autoSpaceDE w:val="0"/>
        <w:autoSpaceDN w:val="0"/>
        <w:bidi w:val="0"/>
        <w:adjustRightInd/>
        <w:snapToGrid/>
        <w:spacing w:line="440" w:lineRule="exact"/>
        <w:jc w:val="left"/>
        <w:textAlignment w:val="auto"/>
        <w:rPr>
          <w:rFonts w:hint="eastAsia" w:ascii="仿宋" w:hAnsi="仿宋" w:eastAsia="仿宋" w:cs="仿宋"/>
          <w:b/>
          <w:color w:val="000000"/>
          <w:kern w:val="0"/>
          <w:sz w:val="28"/>
          <w:szCs w:val="28"/>
        </w:rPr>
        <w:sectPr>
          <w:footerReference r:id="rId5" w:type="default"/>
          <w:pgSz w:w="11906" w:h="16838"/>
          <w:pgMar w:top="1440" w:right="1800" w:bottom="1440" w:left="1800" w:header="851" w:footer="992" w:gutter="0"/>
          <w:pgNumType w:fmt="numberInDash" w:start="1"/>
          <w:cols w:space="425" w:num="1"/>
          <w:docGrid w:type="lines" w:linePitch="312" w:charSpace="0"/>
        </w:sect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0"/>
        <w:jc w:val="center"/>
        <w:rPr>
          <w:rFonts w:hint="eastAsia" w:ascii="仿宋" w:hAnsi="仿宋" w:eastAsia="仿宋" w:cs="仿宋"/>
          <w:b/>
          <w:bCs/>
          <w:sz w:val="52"/>
          <w:szCs w:val="52"/>
        </w:rPr>
      </w:pPr>
      <w:r>
        <w:rPr>
          <w:rFonts w:hint="eastAsia" w:ascii="仿宋" w:hAnsi="仿宋" w:eastAsia="仿宋" w:cs="仿宋"/>
          <w:b/>
          <w:bCs/>
          <w:sz w:val="52"/>
          <w:szCs w:val="52"/>
        </w:rPr>
        <w:t>第一部分</w:t>
      </w:r>
    </w:p>
    <w:p>
      <w:pPr>
        <w:pStyle w:val="10"/>
        <w:jc w:val="center"/>
        <w:rPr>
          <w:rFonts w:hint="eastAsia" w:ascii="仿宋" w:hAnsi="仿宋" w:eastAsia="仿宋" w:cs="仿宋"/>
          <w:b/>
          <w:bCs/>
          <w:sz w:val="52"/>
          <w:szCs w:val="52"/>
        </w:rPr>
      </w:pPr>
    </w:p>
    <w:p>
      <w:pPr>
        <w:pStyle w:val="10"/>
        <w:jc w:val="center"/>
        <w:rPr>
          <w:rFonts w:hint="eastAsia" w:ascii="仿宋" w:hAnsi="仿宋" w:eastAsia="仿宋" w:cs="仿宋"/>
          <w:b/>
          <w:bCs/>
          <w:sz w:val="52"/>
          <w:szCs w:val="52"/>
        </w:rPr>
      </w:pPr>
      <w:r>
        <w:rPr>
          <w:rFonts w:hint="eastAsia" w:ascii="仿宋" w:hAnsi="仿宋" w:eastAsia="仿宋" w:cs="仿宋"/>
          <w:b/>
          <w:bCs/>
          <w:sz w:val="52"/>
          <w:szCs w:val="52"/>
        </w:rPr>
        <w:t>衡阳幼儿师范高等专科学校</w:t>
      </w:r>
    </w:p>
    <w:p>
      <w:pPr>
        <w:pStyle w:val="10"/>
        <w:jc w:val="center"/>
        <w:rPr>
          <w:rFonts w:hint="eastAsia" w:ascii="仿宋" w:hAnsi="仿宋" w:eastAsia="仿宋" w:cs="仿宋"/>
          <w:b/>
          <w:bCs/>
          <w:sz w:val="48"/>
          <w:szCs w:val="48"/>
        </w:rPr>
      </w:pPr>
      <w:r>
        <w:rPr>
          <w:rFonts w:hint="eastAsia" w:ascii="仿宋" w:hAnsi="仿宋" w:eastAsia="仿宋" w:cs="仿宋"/>
          <w:b/>
          <w:bCs/>
          <w:sz w:val="52"/>
          <w:szCs w:val="52"/>
        </w:rPr>
        <w:t>部门</w:t>
      </w:r>
      <w:r>
        <w:rPr>
          <w:rFonts w:ascii="仿宋" w:hAnsi="仿宋" w:eastAsia="仿宋" w:cs="仿宋"/>
          <w:b/>
          <w:sz w:val="52"/>
        </w:rPr>
        <w:t>概况</w:t>
      </w:r>
    </w:p>
    <w:p>
      <w:pPr>
        <w:rPr>
          <w:rFonts w:ascii="黑体" w:hAnsi="黑体" w:eastAsia="黑体"/>
          <w:sz w:val="32"/>
          <w:szCs w:val="32"/>
        </w:rPr>
      </w:pPr>
      <w:r>
        <w:rPr>
          <w:rFonts w:ascii="黑体" w:hAnsi="黑体" w:eastAsia="黑体"/>
          <w:sz w:val="32"/>
          <w:szCs w:val="32"/>
        </w:rPr>
        <w:br w:type="page"/>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default" w:ascii="仿宋" w:hAnsi="仿宋" w:eastAsia="仿宋" w:cs="仿宋"/>
          <w:b/>
          <w:bCs/>
          <w:color w:val="auto"/>
          <w:kern w:val="0"/>
          <w:lang w:val="en-US" w:eastAsia="zh-CN" w:bidi="zh-CN"/>
        </w:rPr>
      </w:pPr>
      <w:r>
        <w:rPr>
          <w:rFonts w:hint="eastAsia" w:ascii="仿宋" w:hAnsi="仿宋" w:eastAsia="仿宋" w:cs="仿宋"/>
          <w:b/>
          <w:bCs/>
          <w:color w:val="auto"/>
          <w:kern w:val="0"/>
          <w:lang w:val="en-US" w:eastAsia="zh-CN" w:bidi="zh-CN"/>
        </w:rPr>
        <w:t>一</w:t>
      </w:r>
      <w:r>
        <w:rPr>
          <w:rFonts w:hint="eastAsia" w:ascii="仿宋" w:hAnsi="仿宋" w:eastAsia="仿宋" w:cs="仿宋"/>
          <w:b/>
          <w:bCs/>
          <w:color w:val="auto"/>
          <w:kern w:val="0"/>
          <w:lang w:val="zh-CN" w:bidi="zh-CN"/>
        </w:rPr>
        <w:t>、</w:t>
      </w:r>
      <w:r>
        <w:rPr>
          <w:rFonts w:hint="eastAsia" w:ascii="仿宋" w:hAnsi="仿宋" w:eastAsia="仿宋" w:cs="仿宋"/>
          <w:b/>
          <w:bCs/>
          <w:color w:val="auto"/>
          <w:kern w:val="0"/>
          <w:lang w:val="en-US" w:eastAsia="zh-CN" w:bidi="zh-CN"/>
        </w:rPr>
        <w:t>部门职责</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bidi="zh-CN"/>
        </w:rPr>
      </w:pPr>
      <w:r>
        <w:rPr>
          <w:rFonts w:ascii="仿宋" w:hAnsi="仿宋" w:eastAsia="仿宋" w:cs="仿宋"/>
          <w:color w:val="auto"/>
        </w:rPr>
        <w:t>①负责培养专科（中专）</w:t>
      </w:r>
      <w:r>
        <w:rPr>
          <w:rFonts w:hint="eastAsia" w:ascii="仿宋" w:hAnsi="仿宋" w:eastAsia="仿宋" w:cs="仿宋"/>
          <w:color w:val="auto"/>
          <w:lang w:eastAsia="zh-CN"/>
        </w:rPr>
        <w:t>学历层次</w:t>
      </w:r>
      <w:r>
        <w:rPr>
          <w:rFonts w:ascii="仿宋" w:hAnsi="仿宋" w:eastAsia="仿宋" w:cs="仿宋"/>
          <w:color w:val="auto"/>
        </w:rPr>
        <w:t>的幼儿园、小学教师；</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bidi="zh-CN"/>
        </w:rPr>
      </w:pPr>
      <w:r>
        <w:rPr>
          <w:rFonts w:ascii="仿宋" w:hAnsi="仿宋" w:eastAsia="仿宋" w:cs="仿宋"/>
          <w:color w:val="auto"/>
        </w:rPr>
        <w:t>②负责省内小学</w:t>
      </w:r>
      <w:r>
        <w:rPr>
          <w:rFonts w:hint="eastAsia" w:ascii="仿宋" w:hAnsi="仿宋" w:eastAsia="仿宋" w:cs="仿宋"/>
          <w:color w:val="auto"/>
          <w:lang w:eastAsia="zh-CN"/>
        </w:rPr>
        <w:t>、</w:t>
      </w:r>
      <w:r>
        <w:rPr>
          <w:rFonts w:ascii="仿宋" w:hAnsi="仿宋" w:eastAsia="仿宋" w:cs="仿宋"/>
          <w:color w:val="auto"/>
        </w:rPr>
        <w:t>幼儿教师的继续教育培训。</w:t>
      </w:r>
    </w:p>
    <w:p>
      <w:pPr>
        <w:jc w:val="left"/>
        <w:rPr>
          <w:rFonts w:hint="eastAsia" w:ascii="仿宋" w:hAnsi="仿宋" w:eastAsia="仿宋" w:cs="仿宋"/>
          <w:sz w:val="28"/>
          <w:szCs w:val="32"/>
        </w:rPr>
      </w:pP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b/>
          <w:bCs/>
          <w:color w:val="auto"/>
          <w:kern w:val="0"/>
          <w:lang w:val="zh-CN" w:bidi="zh-CN"/>
        </w:rPr>
      </w:pPr>
      <w:r>
        <w:rPr>
          <w:rFonts w:hint="eastAsia" w:ascii="仿宋" w:hAnsi="仿宋" w:eastAsia="仿宋" w:cs="仿宋"/>
          <w:b/>
          <w:bCs/>
          <w:color w:val="auto"/>
          <w:kern w:val="0"/>
          <w:lang w:val="zh-CN" w:bidi="zh-CN"/>
        </w:rPr>
        <w:t>二、机构设置及决算单位构成</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eastAsia="zh-CN" w:bidi="zh-CN"/>
        </w:rPr>
      </w:pPr>
      <w:r>
        <w:rPr>
          <w:rFonts w:hint="eastAsia" w:ascii="仿宋" w:hAnsi="仿宋" w:eastAsia="仿宋" w:cs="仿宋"/>
          <w:color w:val="auto"/>
          <w:kern w:val="0"/>
          <w:lang w:val="en-US" w:eastAsia="zh-CN" w:bidi="zh-CN"/>
        </w:rPr>
        <w:t>（一）内设机构设置。</w:t>
      </w:r>
      <w:r>
        <w:rPr>
          <w:rFonts w:ascii="仿宋" w:hAnsi="仿宋" w:eastAsia="仿宋" w:cs="仿宋"/>
          <w:color w:val="auto"/>
        </w:rPr>
        <w:t>衡阳幼儿师范高等专科学校内设机构包括：衡阳幼儿师范高等专科学校是2020年经湖南省教育厅批复、教育部备案、由原衡阳师范学校、耒阳师范学校和衡阳艺术学校合并升格成立的一所全日制公办高等专科学校，学校属市本级财政预算全额拨款事业单位，统一社会信用代码：12430400445429336T。学校内设党政办公室、组织人事处、宣传统战处、学生工作处、教务处等17个党政管理机构，学前教育学院、小学教育学院、艺术教育学院、耒阳学院，附属艺术中等专业学校、思政部等11个教学教辅机构。学校人员编制数503人，2020年末学校在编职工430人，其中：正高职称教师 8人，副高职称教师124 人，中级 146人，学校现有全日制专科在校生6964余人，非全日制在校学生4589人。教师队伍整体素质较高，结构较合理，能满足教育教学需要。</w:t>
      </w:r>
    </w:p>
    <w:p>
      <w:pPr>
        <w:pStyle w:val="3"/>
        <w:keepNext w:val="0"/>
        <w:keepLines w:val="0"/>
        <w:pageBreakBefore w:val="0"/>
        <w:widowControl w:val="0"/>
        <w:suppressAutoHyphens/>
        <w:kinsoku/>
        <w:wordWrap/>
        <w:overflowPunct/>
        <w:topLinePunct w:val="0"/>
        <w:autoSpaceDE/>
        <w:autoSpaceDN/>
        <w:bidi w:val="0"/>
        <w:adjustRightInd/>
        <w:snapToGrid/>
        <w:spacing w:before="0" w:after="0" w:line="360" w:lineRule="auto"/>
        <w:ind w:left="420" w:leftChars="200" w:right="481" w:rightChars="229" w:firstLine="658" w:firstLineChars="0"/>
        <w:jc w:val="both"/>
        <w:textAlignment w:val="auto"/>
        <w:rPr>
          <w:rFonts w:hint="eastAsia" w:ascii="仿宋" w:hAnsi="仿宋" w:eastAsia="仿宋" w:cs="仿宋"/>
          <w:color w:val="auto"/>
          <w:kern w:val="0"/>
          <w:lang w:val="en-US" w:eastAsia="zh-CN" w:bidi="zh-CN"/>
        </w:rPr>
      </w:pPr>
      <w:r>
        <w:rPr>
          <w:rFonts w:hint="eastAsia" w:ascii="仿宋" w:hAnsi="仿宋" w:eastAsia="仿宋" w:cs="仿宋"/>
          <w:color w:val="auto"/>
          <w:kern w:val="0"/>
          <w:lang w:val="en-US" w:eastAsia="zh-CN" w:bidi="zh-CN"/>
        </w:rPr>
        <w:t>（二）决算单位构成。</w:t>
      </w:r>
      <w:r>
        <w:rPr>
          <w:rFonts w:ascii="仿宋" w:hAnsi="仿宋" w:eastAsia="仿宋" w:cs="仿宋"/>
          <w:color w:val="auto"/>
        </w:rPr>
        <w:t>衡阳幼儿师范高等专科学校2020年部门决算汇总公开单位构成包括：衡阳幼儿师范高等专科学校(包含原衡阳师范学校、原耒阳师范学校、原衡阳市艺术学校)。</w:t>
      </w:r>
    </w:p>
    <w:p>
      <w:pPr>
        <w:pStyle w:val="3"/>
        <w:keepNext w:val="0"/>
        <w:keepLines w:val="0"/>
        <w:pageBreakBefore w:val="0"/>
        <w:widowControl w:val="0"/>
        <w:kinsoku/>
        <w:wordWrap/>
        <w:overflowPunct/>
        <w:topLinePunct w:val="0"/>
        <w:autoSpaceDE/>
        <w:autoSpaceDN/>
        <w:bidi w:val="0"/>
        <w:adjustRightInd/>
        <w:snapToGrid/>
        <w:spacing w:line="360" w:lineRule="auto"/>
        <w:ind w:left="0" w:leftChars="0" w:right="481" w:rightChars="229" w:firstLine="640" w:firstLineChars="200"/>
        <w:jc w:val="both"/>
        <w:textAlignment w:val="auto"/>
        <w:rPr>
          <w:rFonts w:hint="eastAsia" w:ascii="仿宋" w:hAnsi="仿宋" w:eastAsia="仿宋" w:cs="仿宋"/>
        </w:rPr>
      </w:pPr>
    </w:p>
    <w:p>
      <w:pPr>
        <w:widowControl/>
        <w:spacing w:line="600" w:lineRule="exact"/>
        <w:ind w:left="0" w:leftChars="0" w:firstLine="838" w:firstLineChars="262"/>
        <w:rPr>
          <w:rFonts w:hint="eastAsia" w:ascii="仿宋" w:hAnsi="仿宋" w:eastAsia="仿宋" w:cs="仿宋"/>
          <w:bCs/>
          <w:kern w:val="0"/>
          <w:sz w:val="32"/>
          <w:szCs w:val="32"/>
        </w:rPr>
        <w:sectPr>
          <w:pgSz w:w="11906" w:h="16838"/>
          <w:pgMar w:top="720" w:right="720" w:bottom="720" w:left="720" w:header="851" w:footer="992" w:gutter="0"/>
          <w:pgNumType w:fmt="numberInDash"/>
          <w:cols w:space="425" w:num="1"/>
          <w:docGrid w:type="lines" w:linePitch="312" w:charSpace="0"/>
        </w:sect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rFonts w:hint="eastAsia" w:ascii="仿宋" w:hAnsi="仿宋" w:eastAsia="仿宋" w:cs="仿宋"/>
          <w:b/>
          <w:bCs/>
          <w:sz w:val="52"/>
          <w:szCs w:val="52"/>
        </w:rPr>
      </w:pPr>
      <w:r>
        <w:rPr>
          <w:rFonts w:hint="eastAsia" w:ascii="仿宋" w:hAnsi="仿宋" w:eastAsia="仿宋" w:cs="仿宋"/>
          <w:b/>
          <w:bCs/>
          <w:sz w:val="52"/>
          <w:szCs w:val="52"/>
        </w:rPr>
        <w:t>第二部分</w:t>
      </w:r>
    </w:p>
    <w:p>
      <w:pPr>
        <w:jc w:val="center"/>
        <w:rPr>
          <w:rFonts w:hint="eastAsia" w:ascii="仿宋" w:hAnsi="仿宋" w:eastAsia="仿宋" w:cs="仿宋"/>
          <w:b/>
          <w:bCs/>
          <w:sz w:val="52"/>
          <w:szCs w:val="52"/>
        </w:rPr>
      </w:pPr>
    </w:p>
    <w:p>
      <w:pPr>
        <w:jc w:val="center"/>
        <w:rPr>
          <w:sz w:val="72"/>
          <w:szCs w:val="72"/>
        </w:rPr>
      </w:pPr>
      <w:r>
        <w:rPr>
          <w:rFonts w:hint="eastAsia" w:ascii="仿宋" w:hAnsi="仿宋" w:eastAsia="仿宋" w:cs="仿宋"/>
          <w:b/>
          <w:bCs/>
          <w:sz w:val="52"/>
          <w:szCs w:val="52"/>
        </w:rPr>
        <w:t>部门</w:t>
      </w:r>
      <w:r>
        <w:rPr>
          <w:rFonts w:ascii="仿宋" w:hAnsi="仿宋" w:eastAsia="仿宋" w:cs="仿宋"/>
          <w:b/>
          <w:sz w:val="52"/>
        </w:rPr>
        <w:t>决算表</w:t>
      </w:r>
    </w:p>
    <w:p>
      <w:pPr>
        <w:jc w:val="center"/>
        <w:rPr>
          <w:sz w:val="72"/>
          <w:szCs w:val="72"/>
        </w:rPr>
        <w:sectPr>
          <w:pgSz w:w="11906" w:h="16838"/>
          <w:pgMar w:top="1440" w:right="1800" w:bottom="1440" w:left="1800" w:header="851" w:footer="992" w:gutter="0"/>
          <w:pgNumType w:fmt="numberInDash"/>
          <w:cols w:space="425" w:num="1"/>
          <w:docGrid w:type="lines" w:linePitch="312" w:charSpace="0"/>
        </w:sectPr>
      </w:pPr>
    </w:p>
    <w:tbl>
      <w:tblPr>
        <w:tblStyle w:val="7"/>
        <w:tblW w:w="13995" w:type="dxa"/>
        <w:tblInd w:w="91" w:type="dxa"/>
        <w:tblLayout w:type="fixed"/>
        <w:tblCellMar>
          <w:top w:w="0" w:type="dxa"/>
          <w:left w:w="108" w:type="dxa"/>
          <w:bottom w:w="0" w:type="dxa"/>
          <w:right w:w="108" w:type="dxa"/>
        </w:tblCellMar>
      </w:tblPr>
      <w:tblGrid>
        <w:gridCol w:w="4535"/>
        <w:gridCol w:w="800"/>
        <w:gridCol w:w="1980"/>
        <w:gridCol w:w="3960"/>
        <w:gridCol w:w="800"/>
        <w:gridCol w:w="1920"/>
      </w:tblGrid>
      <w:tr>
        <w:tblPrEx>
          <w:tblCellMar>
            <w:top w:w="0" w:type="dxa"/>
            <w:left w:w="108" w:type="dxa"/>
            <w:bottom w:w="0" w:type="dxa"/>
            <w:right w:w="108" w:type="dxa"/>
          </w:tblCellMar>
        </w:tblPrEx>
        <w:trPr>
          <w:cantSplit/>
          <w:trHeight w:val="360" w:hRule="atLeast"/>
        </w:trPr>
        <w:tc>
          <w:tcPr>
            <w:tcW w:w="13995" w:type="dxa"/>
            <w:gridSpan w:val="6"/>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 w:lineRule="atLeast"/>
              <w:jc w:val="center"/>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收入支出决算总表</w:t>
            </w:r>
          </w:p>
        </w:tc>
      </w:tr>
      <w:tr>
        <w:tblPrEx>
          <w:tblCellMar>
            <w:top w:w="0" w:type="dxa"/>
            <w:left w:w="108" w:type="dxa"/>
            <w:bottom w:w="0" w:type="dxa"/>
            <w:right w:w="108" w:type="dxa"/>
          </w:tblCellMar>
        </w:tblPrEx>
        <w:trPr>
          <w:cantSplit/>
          <w:trHeight w:val="90" w:hRule="atLeast"/>
        </w:trPr>
        <w:tc>
          <w:tcPr>
            <w:tcW w:w="13995" w:type="dxa"/>
            <w:gridSpan w:val="6"/>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公开01表</w:t>
            </w:r>
          </w:p>
        </w:tc>
      </w:tr>
      <w:tr>
        <w:tblPrEx>
          <w:tblCellMar>
            <w:top w:w="0" w:type="dxa"/>
            <w:left w:w="108" w:type="dxa"/>
            <w:bottom w:w="0" w:type="dxa"/>
            <w:right w:w="108" w:type="dxa"/>
          </w:tblCellMar>
        </w:tblPrEx>
        <w:trPr>
          <w:cantSplit/>
          <w:trHeight w:val="90" w:hRule="atLeast"/>
        </w:trPr>
        <w:tc>
          <w:tcPr>
            <w:tcW w:w="5335" w:type="dxa"/>
            <w:gridSpan w:val="2"/>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w:t>
            </w:r>
            <w:r>
              <w:rPr>
                <w:rFonts w:ascii="仿宋" w:hAnsi="仿宋" w:eastAsia="仿宋" w:cs="仿宋"/>
                <w:color w:val="000000"/>
                <w:sz w:val="20"/>
              </w:rPr>
              <w:t>衡阳幼儿师范高等专科学校</w:t>
            </w:r>
          </w:p>
        </w:tc>
        <w:tc>
          <w:tcPr>
            <w:tcW w:w="8660" w:type="dxa"/>
            <w:gridSpan w:val="4"/>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单位：万元</w:t>
            </w:r>
          </w:p>
        </w:tc>
      </w:tr>
      <w:tr>
        <w:tblPrEx>
          <w:tblCellMar>
            <w:top w:w="0" w:type="dxa"/>
            <w:left w:w="108" w:type="dxa"/>
            <w:bottom w:w="0" w:type="dxa"/>
            <w:right w:w="108" w:type="dxa"/>
          </w:tblCellMar>
        </w:tblPrEx>
        <w:trPr>
          <w:cantSplit/>
          <w:trHeight w:val="90" w:hRule="atLeast"/>
        </w:trPr>
        <w:tc>
          <w:tcPr>
            <w:tcW w:w="731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收入</w:t>
            </w:r>
          </w:p>
        </w:tc>
        <w:tc>
          <w:tcPr>
            <w:tcW w:w="66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支出</w:t>
            </w:r>
          </w:p>
        </w:tc>
      </w:tr>
      <w:tr>
        <w:tblPrEx>
          <w:tblCellMar>
            <w:top w:w="0" w:type="dxa"/>
            <w:left w:w="108" w:type="dxa"/>
            <w:bottom w:w="0" w:type="dxa"/>
            <w:right w:w="108" w:type="dxa"/>
          </w:tblCellMar>
        </w:tblPrEx>
        <w:trPr>
          <w:cantSplit/>
          <w:trHeight w:val="337" w:hRule="atLeast"/>
        </w:trPr>
        <w:tc>
          <w:tcPr>
            <w:tcW w:w="45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0"/>
                <w:szCs w:val="20"/>
              </w:rPr>
            </w:pPr>
            <w:r>
              <w:rPr>
                <w:rFonts w:hint="eastAsia" w:ascii="仿宋" w:hAnsi="仿宋" w:eastAsia="仿宋" w:cs="仿宋"/>
                <w:kern w:val="0"/>
                <w:sz w:val="20"/>
                <w:szCs w:val="20"/>
              </w:rPr>
              <w:t>行次</w:t>
            </w:r>
          </w:p>
        </w:tc>
        <w:tc>
          <w:tcPr>
            <w:tcW w:w="19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决算数</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0"/>
                <w:szCs w:val="20"/>
              </w:rPr>
            </w:pPr>
            <w:r>
              <w:rPr>
                <w:rFonts w:hint="eastAsia" w:ascii="仿宋" w:hAnsi="仿宋" w:eastAsia="仿宋" w:cs="仿宋"/>
                <w:kern w:val="0"/>
                <w:sz w:val="20"/>
                <w:szCs w:val="20"/>
              </w:rPr>
              <w:t>行次</w:t>
            </w:r>
          </w:p>
        </w:tc>
        <w:tc>
          <w:tcPr>
            <w:tcW w:w="192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决算数</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ascii="仿宋" w:hAnsi="仿宋" w:eastAsia="仿宋" w:cs="仿宋"/>
                <w:sz w:val="24"/>
              </w:rPr>
              <w:t>栏    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p>
        </w:tc>
        <w:tc>
          <w:tcPr>
            <w:tcW w:w="19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u w:val="none"/>
                <w:lang w:val="en-US" w:eastAsia="zh-CN" w:bidi="ar"/>
              </w:rPr>
              <w:t>1</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栏    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4"/>
                <w:szCs w:val="24"/>
              </w:rPr>
            </w:pPr>
          </w:p>
        </w:tc>
        <w:tc>
          <w:tcPr>
            <w:tcW w:w="192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u w:val="none"/>
                <w:lang w:val="en-US" w:eastAsia="zh-CN" w:bidi="ar"/>
              </w:rPr>
              <w:t>2</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一、一般公共预算财政拨款收入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8513.98</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一、一般公共服务支出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32</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二、政府性基金预算财政拨款收入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二、外交支出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33</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三、国有资本经营预算财政拨款收入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三、国防支出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34</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四、上级补助收入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四、公共安全支出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35</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五、事业收入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2514.77</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五、教育支出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36</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16,911.53</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六、经营收入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六、科学技术支出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37</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七、附属单位上缴收入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7</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七、文化旅游体育与传媒支出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38</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2.55</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八、其他收入</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8</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158.0</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八、社会保障和就业支出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39</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20.13</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9</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九、卫生健康支出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40</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十、节能环保支出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41</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11</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十一、城乡社区支出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42</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12</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十二、农林水支出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43</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13</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十三、交通运输支出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44</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14</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十四、资源勘探工业信息等支出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45</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15</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十五、商业服务业等支出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46</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16</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十六、金融支出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47</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17</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十七、援助其他地区支出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48</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18</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十八、自然资源海洋气象等支出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49</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19</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十九、住房保障支出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50</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二十、粮油物资储备支出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51</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21</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二十一、国有资本经营预算支出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52</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22</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二十二、灾害防治及应急管理支出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53</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23</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二十三、其他支出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54</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24</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二十四、债务还本支出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55</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25</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二十五、债务付息支出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56</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26</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二十六、抗疫特别国债安排的支出</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57</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b/>
                <w:bCs/>
                <w:kern w:val="0"/>
                <w:sz w:val="22"/>
              </w:rPr>
            </w:pPr>
            <w:r>
              <w:rPr>
                <w:rFonts w:ascii="仿宋" w:hAnsi="仿宋" w:eastAsia="仿宋" w:cs="仿宋"/>
                <w:b/>
                <w:sz w:val="22"/>
              </w:rPr>
              <w:t>本年收入合计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i w:val="0"/>
                <w:color w:val="000000"/>
                <w:kern w:val="0"/>
                <w:sz w:val="22"/>
                <w:szCs w:val="22"/>
                <w:u w:val="none"/>
                <w:lang w:val="en-US" w:eastAsia="zh-CN" w:bidi="ar"/>
              </w:rPr>
              <w:t>27</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lang w:val="en-US" w:eastAsia="zh-CN"/>
              </w:rPr>
            </w:pPr>
            <w:r>
              <w:rPr>
                <w:rFonts w:hint="eastAsia" w:ascii="仿宋" w:hAnsi="仿宋" w:eastAsia="仿宋" w:cs="仿宋"/>
              </w:rPr>
              <w:t>11,186.74</w:t>
            </w:r>
          </w:p>
        </w:tc>
        <w:tc>
          <w:tcPr>
            <w:tcW w:w="39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本年支出合计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i w:val="0"/>
                <w:color w:val="000000"/>
                <w:kern w:val="0"/>
                <w:sz w:val="22"/>
                <w:szCs w:val="22"/>
                <w:u w:val="none"/>
                <w:lang w:val="en-US" w:eastAsia="zh-CN" w:bidi="ar"/>
              </w:rPr>
              <w:t>58</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16,934.21</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使用非财政拨款结余</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28</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807.4</w:t>
            </w:r>
          </w:p>
        </w:tc>
        <w:tc>
          <w:tcPr>
            <w:tcW w:w="39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结余分配</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59</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184.27</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年初结转和结余</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29</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14927.22</w:t>
            </w:r>
          </w:p>
        </w:tc>
        <w:tc>
          <w:tcPr>
            <w:tcW w:w="39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年末结转和结余</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60</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9802.88</w:t>
            </w:r>
          </w:p>
        </w:tc>
      </w:tr>
      <w:tr>
        <w:tblPrEx>
          <w:tblCellMar>
            <w:top w:w="0" w:type="dxa"/>
            <w:left w:w="108" w:type="dxa"/>
            <w:bottom w:w="0" w:type="dxa"/>
            <w:right w:w="108" w:type="dxa"/>
          </w:tblCellMar>
        </w:tblPrEx>
        <w:trPr>
          <w:cantSplit/>
          <w:trHeight w:val="90" w:hRule="atLeast"/>
        </w:trPr>
        <w:tc>
          <w:tcPr>
            <w:tcW w:w="453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p>
        </w:tc>
        <w:tc>
          <w:tcPr>
            <w:tcW w:w="39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lef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90" w:hRule="atLeast"/>
        </w:trPr>
        <w:tc>
          <w:tcPr>
            <w:tcW w:w="453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总计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i w:val="0"/>
                <w:color w:val="000000"/>
                <w:kern w:val="0"/>
                <w:sz w:val="22"/>
                <w:szCs w:val="22"/>
                <w:u w:val="none"/>
                <w:lang w:val="en-US" w:eastAsia="zh-CN" w:bidi="ar"/>
              </w:rPr>
              <w:t>30</w:t>
            </w:r>
          </w:p>
        </w:tc>
        <w:tc>
          <w:tcPr>
            <w:tcW w:w="19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26,921.37</w:t>
            </w:r>
          </w:p>
        </w:tc>
        <w:tc>
          <w:tcPr>
            <w:tcW w:w="39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总计</w:t>
            </w:r>
          </w:p>
        </w:tc>
        <w:tc>
          <w:tcPr>
            <w:tcW w:w="8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suppressLineNumbers w:val="0"/>
              <w:kinsoku/>
              <w:wordWrap/>
              <w:overflowPunct/>
              <w:topLinePunct w:val="0"/>
              <w:autoSpaceDE/>
              <w:autoSpaceDN/>
              <w:bidi w:val="0"/>
              <w:adjustRightInd/>
              <w:snapToGrid w:val="0"/>
              <w:spacing w:after="34" w:line="34" w:lineRule="atLeast"/>
              <w:jc w:val="center"/>
              <w:textAlignment w:val="auto"/>
              <w:rPr>
                <w:rFonts w:hint="eastAsia" w:ascii="仿宋" w:hAnsi="仿宋" w:eastAsia="仿宋" w:cs="仿宋"/>
                <w:kern w:val="0"/>
                <w:sz w:val="22"/>
              </w:rPr>
            </w:pPr>
            <w:r>
              <w:rPr>
                <w:rFonts w:hint="eastAsia" w:ascii="仿宋" w:hAnsi="仿宋" w:eastAsia="仿宋" w:cs="仿宋"/>
                <w:i w:val="0"/>
                <w:color w:val="000000"/>
                <w:kern w:val="0"/>
                <w:sz w:val="22"/>
                <w:szCs w:val="22"/>
                <w:u w:val="none"/>
                <w:lang w:val="en-US" w:eastAsia="zh-CN" w:bidi="ar"/>
              </w:rPr>
              <w:t>61</w:t>
            </w:r>
          </w:p>
        </w:tc>
        <w:tc>
          <w:tcPr>
            <w:tcW w:w="1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val="0"/>
              <w:spacing w:after="34" w:line="34" w:lineRule="atLeast"/>
              <w:jc w:val="right"/>
              <w:textAlignment w:val="auto"/>
              <w:rPr>
                <w:rFonts w:hint="eastAsia" w:ascii="仿宋" w:hAnsi="仿宋" w:eastAsia="仿宋" w:cs="仿宋"/>
                <w:b/>
                <w:bCs/>
                <w:kern w:val="0"/>
                <w:sz w:val="22"/>
              </w:rPr>
            </w:pPr>
            <w:r>
              <w:rPr>
                <w:rFonts w:hint="eastAsia" w:ascii="仿宋" w:hAnsi="仿宋" w:eastAsia="仿宋" w:cs="仿宋"/>
              </w:rPr>
              <w:t>26,921.37</w:t>
            </w:r>
          </w:p>
        </w:tc>
      </w:tr>
      <w:tr>
        <w:tblPrEx>
          <w:tblCellMar>
            <w:top w:w="0" w:type="dxa"/>
            <w:left w:w="108" w:type="dxa"/>
            <w:bottom w:w="0" w:type="dxa"/>
            <w:right w:w="108" w:type="dxa"/>
          </w:tblCellMar>
        </w:tblPrEx>
        <w:trPr>
          <w:cantSplit/>
          <w:trHeight w:val="90" w:hRule="atLeast"/>
        </w:trPr>
        <w:tc>
          <w:tcPr>
            <w:tcW w:w="13995" w:type="dxa"/>
            <w:gridSpan w:val="6"/>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注：1.本表反映部门本年度的总收支和年末结转结余情况。</w:t>
            </w:r>
            <w:r>
              <w:rPr>
                <w:rFonts w:hint="eastAsia" w:ascii="仿宋" w:hAnsi="仿宋" w:eastAsia="仿宋" w:cs="仿宋"/>
                <w:kern w:val="0"/>
                <w:sz w:val="24"/>
                <w:szCs w:val="24"/>
              </w:rPr>
              <w:br w:type="textWrapping"/>
            </w:r>
            <w:r>
              <w:rPr>
                <w:rFonts w:hint="eastAsia" w:ascii="仿宋" w:hAnsi="仿宋" w:eastAsia="仿宋" w:cs="仿宋"/>
                <w:kern w:val="0"/>
                <w:sz w:val="24"/>
                <w:szCs w:val="24"/>
              </w:rPr>
              <w:t xml:space="preserve"> 2.本套报表金额单位转换时可能存在尾数误差。</w:t>
            </w:r>
          </w:p>
        </w:tc>
      </w:tr>
    </w:tbl>
    <w:p>
      <w:pPr>
        <w:jc w:val="center"/>
        <w:rPr>
          <w:rFonts w:ascii="黑体" w:hAnsi="黑体" w:eastAsia="黑体"/>
          <w:sz w:val="28"/>
          <w:szCs w:val="28"/>
        </w:rPr>
        <w:sectPr>
          <w:pgSz w:w="16838" w:h="11906" w:orient="landscape"/>
          <w:pgMar w:top="1803" w:right="1440" w:bottom="1803" w:left="1440" w:header="851" w:footer="992" w:gutter="0"/>
          <w:pgNumType w:fmt="numberInDash"/>
          <w:cols w:space="0" w:num="1"/>
          <w:rtlGutter w:val="0"/>
          <w:docGrid w:type="lines" w:linePitch="319" w:charSpace="0"/>
        </w:sectPr>
      </w:pPr>
    </w:p>
    <w:tbl>
      <w:tblPr>
        <w:tblStyle w:val="7"/>
        <w:tblW w:w="13988" w:type="dxa"/>
        <w:tblInd w:w="0" w:type="dxa"/>
        <w:tblLayout w:type="fixed"/>
        <w:tblCellMar>
          <w:top w:w="0" w:type="dxa"/>
          <w:left w:w="0" w:type="dxa"/>
          <w:bottom w:w="0" w:type="dxa"/>
          <w:right w:w="0" w:type="dxa"/>
        </w:tblCellMar>
      </w:tblPr>
      <w:tblGrid>
        <w:gridCol w:w="1337"/>
        <w:gridCol w:w="2863"/>
        <w:gridCol w:w="1663"/>
        <w:gridCol w:w="1474"/>
        <w:gridCol w:w="1491"/>
        <w:gridCol w:w="1457"/>
        <w:gridCol w:w="1230"/>
        <w:gridCol w:w="1320"/>
        <w:gridCol w:w="1153"/>
      </w:tblGrid>
      <w:tr>
        <w:tblPrEx>
          <w:tblCellMar>
            <w:top w:w="0" w:type="dxa"/>
            <w:left w:w="0" w:type="dxa"/>
            <w:bottom w:w="0" w:type="dxa"/>
            <w:right w:w="0" w:type="dxa"/>
          </w:tblCellMar>
        </w:tblPrEx>
        <w:trPr>
          <w:trHeight w:val="435" w:hRule="atLeast"/>
        </w:trPr>
        <w:tc>
          <w:tcPr>
            <w:tcW w:w="13988" w:type="dxa"/>
            <w:gridSpan w:val="9"/>
            <w:tcBorders>
              <w:top w:val="nil"/>
              <w:left w:val="nil"/>
              <w:bottom w:val="nil"/>
              <w:right w:val="nil"/>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 w:lineRule="atLeast"/>
              <w:jc w:val="center"/>
              <w:textAlignment w:val="auto"/>
              <w:rPr>
                <w:rFonts w:hint="eastAsia" w:ascii="仿宋" w:hAnsi="仿宋" w:eastAsia="仿宋" w:cs="仿宋"/>
                <w:color w:val="000000"/>
                <w:sz w:val="32"/>
                <w:szCs w:val="32"/>
              </w:rPr>
            </w:pPr>
            <w:r>
              <w:rPr>
                <w:rFonts w:hint="eastAsia" w:ascii="仿宋" w:hAnsi="仿宋" w:eastAsia="仿宋" w:cs="仿宋"/>
                <w:b/>
                <w:bCs/>
                <w:color w:val="000000"/>
                <w:sz w:val="32"/>
                <w:szCs w:val="32"/>
              </w:rPr>
              <w:t>收入决算表</w:t>
            </w:r>
          </w:p>
        </w:tc>
      </w:tr>
      <w:tr>
        <w:tblPrEx>
          <w:tblCellMar>
            <w:top w:w="0" w:type="dxa"/>
            <w:left w:w="0" w:type="dxa"/>
            <w:bottom w:w="0" w:type="dxa"/>
            <w:right w:w="0" w:type="dxa"/>
          </w:tblCellMar>
        </w:tblPrEx>
        <w:trPr>
          <w:trHeight w:val="111" w:hRule="atLeast"/>
        </w:trPr>
        <w:tc>
          <w:tcPr>
            <w:tcW w:w="12835" w:type="dxa"/>
            <w:gridSpan w:val="8"/>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both"/>
              <w:textAlignment w:val="auto"/>
              <w:rPr>
                <w:rFonts w:hint="eastAsia" w:ascii="仿宋" w:hAnsi="仿宋" w:eastAsia="仿宋" w:cs="仿宋"/>
                <w:sz w:val="24"/>
                <w:szCs w:val="24"/>
              </w:rPr>
            </w:pPr>
          </w:p>
        </w:tc>
        <w:tc>
          <w:tcPr>
            <w:tcW w:w="1153"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公开02表</w:t>
            </w:r>
          </w:p>
        </w:tc>
      </w:tr>
      <w:tr>
        <w:tblPrEx>
          <w:tblCellMar>
            <w:top w:w="0" w:type="dxa"/>
            <w:left w:w="0" w:type="dxa"/>
            <w:bottom w:w="0" w:type="dxa"/>
            <w:right w:w="0" w:type="dxa"/>
          </w:tblCellMar>
        </w:tblPrEx>
        <w:trPr>
          <w:trHeight w:val="90" w:hRule="atLeast"/>
        </w:trPr>
        <w:tc>
          <w:tcPr>
            <w:tcW w:w="12835" w:type="dxa"/>
            <w:gridSpan w:val="8"/>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4"/>
                <w:szCs w:val="24"/>
              </w:rPr>
            </w:pPr>
            <w:r>
              <w:rPr>
                <w:rFonts w:hint="eastAsia" w:ascii="仿宋" w:hAnsi="仿宋" w:eastAsia="仿宋" w:cs="仿宋"/>
                <w:color w:val="000000"/>
                <w:sz w:val="20"/>
                <w:szCs w:val="20"/>
                <w:lang w:eastAsia="zh-CN"/>
              </w:rPr>
              <w:t>部门</w:t>
            </w:r>
            <w:r>
              <w:rPr>
                <w:rFonts w:hint="eastAsia" w:ascii="仿宋" w:hAnsi="仿宋" w:eastAsia="仿宋" w:cs="仿宋"/>
                <w:color w:val="000000"/>
                <w:sz w:val="20"/>
                <w:szCs w:val="20"/>
              </w:rPr>
              <w:t>：</w:t>
            </w:r>
            <w:r>
              <w:rPr>
                <w:rFonts w:ascii="仿宋" w:hAnsi="仿宋" w:eastAsia="仿宋" w:cs="仿宋"/>
                <w:color w:val="000000"/>
                <w:sz w:val="20"/>
              </w:rPr>
              <w:t>衡阳幼儿师范高等专科学校</w:t>
            </w:r>
          </w:p>
        </w:tc>
        <w:tc>
          <w:tcPr>
            <w:tcW w:w="1153" w:type="dxa"/>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sz w:val="20"/>
                <w:szCs w:val="20"/>
              </w:rPr>
            </w:pPr>
            <w:r>
              <w:rPr>
                <w:rFonts w:hint="eastAsia" w:ascii="仿宋" w:hAnsi="仿宋" w:eastAsia="仿宋" w:cs="仿宋"/>
                <w:color w:val="000000"/>
                <w:sz w:val="20"/>
                <w:szCs w:val="20"/>
              </w:rPr>
              <w:t>单位：万元</w:t>
            </w:r>
          </w:p>
        </w:tc>
      </w:tr>
      <w:tr>
        <w:tblPrEx>
          <w:tblCellMar>
            <w:top w:w="0" w:type="dxa"/>
            <w:left w:w="0" w:type="dxa"/>
            <w:bottom w:w="0" w:type="dxa"/>
            <w:right w:w="0" w:type="dxa"/>
          </w:tblCellMar>
        </w:tblPrEx>
        <w:trPr>
          <w:trHeight w:val="450" w:hRule="atLeast"/>
        </w:trPr>
        <w:tc>
          <w:tcPr>
            <w:tcW w:w="420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项    目</w:t>
            </w:r>
          </w:p>
        </w:tc>
        <w:tc>
          <w:tcPr>
            <w:tcW w:w="16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本年收入合计</w:t>
            </w:r>
          </w:p>
        </w:tc>
        <w:tc>
          <w:tcPr>
            <w:tcW w:w="14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财政拨款收入</w:t>
            </w:r>
          </w:p>
        </w:tc>
        <w:tc>
          <w:tcPr>
            <w:tcW w:w="149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上级补助收入</w:t>
            </w:r>
          </w:p>
        </w:tc>
        <w:tc>
          <w:tcPr>
            <w:tcW w:w="145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事业收入</w:t>
            </w:r>
          </w:p>
        </w:tc>
        <w:tc>
          <w:tcPr>
            <w:tcW w:w="123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经营收入</w:t>
            </w:r>
          </w:p>
        </w:tc>
        <w:tc>
          <w:tcPr>
            <w:tcW w:w="13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rPr>
              <w:t>附属单位</w:t>
            </w:r>
          </w:p>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上缴收入</w:t>
            </w:r>
          </w:p>
        </w:tc>
        <w:tc>
          <w:tcPr>
            <w:tcW w:w="115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其他收入</w:t>
            </w:r>
          </w:p>
        </w:tc>
      </w:tr>
      <w:tr>
        <w:tblPrEx>
          <w:tblCellMar>
            <w:top w:w="0" w:type="dxa"/>
            <w:left w:w="0" w:type="dxa"/>
            <w:bottom w:w="0" w:type="dxa"/>
            <w:right w:w="0" w:type="dxa"/>
          </w:tblCellMar>
        </w:tblPrEx>
        <w:trPr>
          <w:trHeight w:val="450" w:hRule="atLeast"/>
        </w:trPr>
        <w:tc>
          <w:tcPr>
            <w:tcW w:w="133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rPr>
              <w:t>功能分类</w:t>
            </w:r>
          </w:p>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科目编码</w:t>
            </w:r>
          </w:p>
        </w:tc>
        <w:tc>
          <w:tcPr>
            <w:tcW w:w="28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科目名称</w:t>
            </w:r>
          </w:p>
        </w:tc>
        <w:tc>
          <w:tcPr>
            <w:tcW w:w="16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7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15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312" w:hRule="atLeast"/>
        </w:trPr>
        <w:tc>
          <w:tcPr>
            <w:tcW w:w="133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28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6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7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45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23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c>
          <w:tcPr>
            <w:tcW w:w="115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90" w:hRule="atLeast"/>
        </w:trPr>
        <w:tc>
          <w:tcPr>
            <w:tcW w:w="42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栏次</w:t>
            </w:r>
          </w:p>
        </w:tc>
        <w:tc>
          <w:tcPr>
            <w:tcW w:w="16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1</w:t>
            </w:r>
          </w:p>
        </w:tc>
        <w:tc>
          <w:tcPr>
            <w:tcW w:w="147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2</w:t>
            </w:r>
          </w:p>
        </w:tc>
        <w:tc>
          <w:tcPr>
            <w:tcW w:w="14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3</w:t>
            </w:r>
          </w:p>
        </w:tc>
        <w:tc>
          <w:tcPr>
            <w:tcW w:w="145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4</w:t>
            </w:r>
          </w:p>
        </w:tc>
        <w:tc>
          <w:tcPr>
            <w:tcW w:w="123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5</w:t>
            </w:r>
          </w:p>
        </w:tc>
        <w:tc>
          <w:tcPr>
            <w:tcW w:w="132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6</w:t>
            </w:r>
          </w:p>
        </w:tc>
        <w:tc>
          <w:tcPr>
            <w:tcW w:w="115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hint="eastAsia" w:ascii="仿宋" w:hAnsi="仿宋" w:eastAsia="仿宋" w:cs="仿宋"/>
              </w:rPr>
              <w:t>7</w:t>
            </w:r>
          </w:p>
        </w:tc>
      </w:tr>
      <w:tr>
        <w:tblPrEx>
          <w:tblCellMar>
            <w:top w:w="0" w:type="dxa"/>
            <w:left w:w="0" w:type="dxa"/>
            <w:bottom w:w="0" w:type="dxa"/>
            <w:right w:w="0" w:type="dxa"/>
          </w:tblCellMar>
        </w:tblPrEx>
        <w:trPr>
          <w:trHeight w:val="245" w:hRule="atLeast"/>
        </w:trPr>
        <w:tc>
          <w:tcPr>
            <w:tcW w:w="420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4"/>
                <w:szCs w:val="24"/>
              </w:rPr>
            </w:pPr>
            <w:r>
              <w:rPr>
                <w:rFonts w:ascii="仿宋" w:hAnsi="仿宋" w:eastAsia="仿宋" w:cs="仿宋"/>
              </w:rPr>
              <w:t>合计</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11,186.74</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8,513.98</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2,514.77</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lang w:val="en-US" w:eastAsia="zh-CN"/>
              </w:rPr>
            </w:pPr>
            <w:r>
              <w:rPr>
                <w:rFonts w:hint="eastAsia" w:ascii="仿宋" w:hAnsi="仿宋" w:eastAsia="仿宋" w:cs="仿宋"/>
              </w:rPr>
              <w:t>158.00</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205</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教育支出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11,164.06</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8,493.85</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2,514.77</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155.45</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20502</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普通教育</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369.70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169.70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200.00</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2050201</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学前教育</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168.70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168.70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2050204</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高中教育</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200.00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200.00</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2050205</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高等教育</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1.00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1.00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20503</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职业教育</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10,321.06</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7,850.85</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2,314.77</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155.45</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2050302</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中等职业教育</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10,165.61</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7,850.85</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2,314.77</w:t>
            </w: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2050399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其他职业教育支出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155.45</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155.45</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教育费附加安排的支出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473.30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473.30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2050999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其他教育费附加安排的支出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473.30</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473.30</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207</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文化旅游体育与传媒支出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2.55</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2.55</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20701</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文化和旅游</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2.55</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2.55</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2070199</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其他文化和旅游支出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2.55</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2.55</w:t>
            </w: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208</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社会保障和就业支出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20.13</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20.13</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20805</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行政事业单位养老支出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20.13</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20.13</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147" w:hRule="atLeast"/>
        </w:trPr>
        <w:tc>
          <w:tcPr>
            <w:tcW w:w="133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 xml:space="preserve">    2080506</w:t>
            </w:r>
          </w:p>
        </w:tc>
        <w:tc>
          <w:tcPr>
            <w:tcW w:w="286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sz w:val="24"/>
                <w:szCs w:val="24"/>
              </w:rPr>
            </w:pPr>
            <w:r>
              <w:rPr>
                <w:rFonts w:hint="eastAsia" w:ascii="仿宋" w:hAnsi="仿宋" w:eastAsia="仿宋" w:cs="仿宋"/>
              </w:rPr>
              <w:t>机关事业单位职业年金缴费支出</w:t>
            </w:r>
          </w:p>
        </w:tc>
        <w:tc>
          <w:tcPr>
            <w:tcW w:w="166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20.13</w:t>
            </w:r>
          </w:p>
        </w:tc>
        <w:tc>
          <w:tcPr>
            <w:tcW w:w="14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r>
              <w:rPr>
                <w:rFonts w:hint="eastAsia" w:ascii="仿宋" w:hAnsi="仿宋" w:eastAsia="仿宋" w:cs="仿宋"/>
              </w:rPr>
              <w:t>20.13</w:t>
            </w:r>
          </w:p>
        </w:tc>
        <w:tc>
          <w:tcPr>
            <w:tcW w:w="14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45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23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c>
          <w:tcPr>
            <w:tcW w:w="11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4"/>
                <w:szCs w:val="24"/>
              </w:rPr>
            </w:pPr>
          </w:p>
        </w:tc>
      </w:tr>
      <w:tr>
        <w:tblPrEx>
          <w:tblCellMar>
            <w:top w:w="0" w:type="dxa"/>
            <w:left w:w="0" w:type="dxa"/>
            <w:bottom w:w="0" w:type="dxa"/>
            <w:right w:w="0" w:type="dxa"/>
          </w:tblCellMar>
        </w:tblPrEx>
        <w:trPr>
          <w:trHeight w:val="615" w:hRule="atLeast"/>
        </w:trPr>
        <w:tc>
          <w:tcPr>
            <w:tcW w:w="13988" w:type="dxa"/>
            <w:gridSpan w:val="9"/>
            <w:tcBorders>
              <w:top w:val="single" w:color="auto" w:sz="4" w:space="0"/>
              <w:left w:val="nil"/>
              <w:bottom w:val="nil"/>
              <w:right w:val="nil"/>
            </w:tcBorders>
            <w:shd w:val="clear" w:color="auto" w:fill="auto"/>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after="34" w:line="34" w:lineRule="atLeast"/>
              <w:textAlignment w:val="auto"/>
              <w:rPr>
                <w:rFonts w:hint="eastAsia" w:ascii="仿宋" w:hAnsi="仿宋" w:eastAsia="仿宋" w:cs="仿宋"/>
              </w:rPr>
            </w:pPr>
            <w:r>
              <w:rPr>
                <w:rFonts w:hint="eastAsia" w:ascii="仿宋" w:hAnsi="仿宋" w:eastAsia="仿宋" w:cs="仿宋"/>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7"/>
        <w:tblW w:w="13935" w:type="dxa"/>
        <w:tblInd w:w="91" w:type="dxa"/>
        <w:tblLayout w:type="fixed"/>
        <w:tblCellMar>
          <w:top w:w="0" w:type="dxa"/>
          <w:left w:w="108" w:type="dxa"/>
          <w:bottom w:w="0" w:type="dxa"/>
          <w:right w:w="108" w:type="dxa"/>
        </w:tblCellMar>
      </w:tblPr>
      <w:tblGrid>
        <w:gridCol w:w="1716"/>
        <w:gridCol w:w="3326"/>
        <w:gridCol w:w="1680"/>
        <w:gridCol w:w="1371"/>
        <w:gridCol w:w="1492"/>
        <w:gridCol w:w="1697"/>
        <w:gridCol w:w="1183"/>
        <w:gridCol w:w="1470"/>
      </w:tblGrid>
      <w:tr>
        <w:tblPrEx>
          <w:tblCellMar>
            <w:top w:w="0" w:type="dxa"/>
            <w:left w:w="108" w:type="dxa"/>
            <w:bottom w:w="0" w:type="dxa"/>
            <w:right w:w="108" w:type="dxa"/>
          </w:tblCellMar>
        </w:tblPrEx>
        <w:trPr>
          <w:trHeight w:val="435" w:hRule="atLeast"/>
        </w:trPr>
        <w:tc>
          <w:tcPr>
            <w:tcW w:w="13935" w:type="dxa"/>
            <w:gridSpan w:val="8"/>
            <w:tcBorders>
              <w:top w:val="nil"/>
              <w:left w:val="nil"/>
              <w:bottom w:val="nil"/>
              <w:right w:val="nil"/>
            </w:tcBorders>
            <w:shd w:val="clear" w:color="auto" w:fill="auto"/>
            <w:noWrap/>
            <w:vAlign w:val="center"/>
          </w:tcPr>
          <w:p>
            <w:pPr>
              <w:widowControl/>
              <w:jc w:val="center"/>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支出决算表</w:t>
            </w:r>
          </w:p>
        </w:tc>
      </w:tr>
      <w:tr>
        <w:tblPrEx>
          <w:tblCellMar>
            <w:top w:w="0" w:type="dxa"/>
            <w:left w:w="108" w:type="dxa"/>
            <w:bottom w:w="0" w:type="dxa"/>
            <w:right w:w="108" w:type="dxa"/>
          </w:tblCellMar>
        </w:tblPrEx>
        <w:trPr>
          <w:trHeight w:val="90" w:hRule="atLeast"/>
        </w:trPr>
        <w:tc>
          <w:tcPr>
            <w:tcW w:w="12465" w:type="dxa"/>
            <w:gridSpan w:val="7"/>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公开03表</w:t>
            </w:r>
          </w:p>
        </w:tc>
      </w:tr>
      <w:tr>
        <w:tblPrEx>
          <w:tblCellMar>
            <w:top w:w="0" w:type="dxa"/>
            <w:left w:w="108" w:type="dxa"/>
            <w:bottom w:w="0" w:type="dxa"/>
            <w:right w:w="108" w:type="dxa"/>
          </w:tblCellMar>
        </w:tblPrEx>
        <w:trPr>
          <w:trHeight w:val="104" w:hRule="atLeast"/>
        </w:trPr>
        <w:tc>
          <w:tcPr>
            <w:tcW w:w="12465" w:type="dxa"/>
            <w:gridSpan w:val="7"/>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w:t>
            </w:r>
            <w:r>
              <w:rPr>
                <w:rFonts w:ascii="仿宋" w:hAnsi="仿宋" w:eastAsia="仿宋" w:cs="仿宋"/>
                <w:color w:val="000000"/>
                <w:sz w:val="20"/>
              </w:rPr>
              <w:t>衡阳幼儿师范高等专科学校</w:t>
            </w:r>
          </w:p>
        </w:tc>
        <w:tc>
          <w:tcPr>
            <w:tcW w:w="1470" w:type="dxa"/>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单位：万元</w:t>
            </w:r>
          </w:p>
        </w:tc>
      </w:tr>
      <w:tr>
        <w:tblPrEx>
          <w:tblCellMar>
            <w:top w:w="0" w:type="dxa"/>
            <w:left w:w="108" w:type="dxa"/>
            <w:bottom w:w="0" w:type="dxa"/>
            <w:right w:w="108" w:type="dxa"/>
          </w:tblCellMar>
        </w:tblPrEx>
        <w:trPr>
          <w:trHeight w:val="450" w:hRule="atLeast"/>
        </w:trPr>
        <w:tc>
          <w:tcPr>
            <w:tcW w:w="5042"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本年支出合计</w:t>
            </w:r>
          </w:p>
        </w:tc>
        <w:tc>
          <w:tcPr>
            <w:tcW w:w="137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基本支出</w:t>
            </w:r>
          </w:p>
        </w:tc>
        <w:tc>
          <w:tcPr>
            <w:tcW w:w="14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项目支出</w:t>
            </w:r>
          </w:p>
        </w:tc>
        <w:tc>
          <w:tcPr>
            <w:tcW w:w="169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上缴上级支出</w:t>
            </w:r>
          </w:p>
        </w:tc>
        <w:tc>
          <w:tcPr>
            <w:tcW w:w="118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经营支出</w:t>
            </w:r>
          </w:p>
        </w:tc>
        <w:tc>
          <w:tcPr>
            <w:tcW w:w="14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对附属单位补助支出</w:t>
            </w:r>
          </w:p>
        </w:tc>
      </w:tr>
      <w:tr>
        <w:tblPrEx>
          <w:tblCellMar>
            <w:top w:w="0" w:type="dxa"/>
            <w:left w:w="108" w:type="dxa"/>
            <w:bottom w:w="0" w:type="dxa"/>
            <w:right w:w="108" w:type="dxa"/>
          </w:tblCellMar>
        </w:tblPrEx>
        <w:trPr>
          <w:trHeight w:val="450" w:hRule="atLeast"/>
        </w:trPr>
        <w:tc>
          <w:tcPr>
            <w:tcW w:w="171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功能分类</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科目编码</w:t>
            </w:r>
          </w:p>
        </w:tc>
        <w:tc>
          <w:tcPr>
            <w:tcW w:w="33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科目名称</w:t>
            </w: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37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49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69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18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312" w:hRule="atLeast"/>
        </w:trPr>
        <w:tc>
          <w:tcPr>
            <w:tcW w:w="171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33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37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49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69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18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139" w:hRule="atLeast"/>
        </w:trPr>
        <w:tc>
          <w:tcPr>
            <w:tcW w:w="504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栏次</w:t>
            </w:r>
          </w:p>
        </w:tc>
        <w:tc>
          <w:tcPr>
            <w:tcW w:w="16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37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49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69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18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4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6</w:t>
            </w:r>
          </w:p>
        </w:tc>
      </w:tr>
      <w:tr>
        <w:tblPrEx>
          <w:tblCellMar>
            <w:top w:w="0" w:type="dxa"/>
            <w:left w:w="108" w:type="dxa"/>
            <w:bottom w:w="0" w:type="dxa"/>
            <w:right w:w="108" w:type="dxa"/>
          </w:tblCellMar>
        </w:tblPrEx>
        <w:trPr>
          <w:trHeight w:val="657" w:hRule="atLeast"/>
        </w:trPr>
        <w:tc>
          <w:tcPr>
            <w:tcW w:w="5042"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16,934.21</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8,839.98</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8,094.23</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205</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教育支出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16,911.53</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8,817.30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8,094.23</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20502</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普通教育</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410.10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210.10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200.00</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2050201</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学前教育</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210.10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210.10</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2050204</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高中教育</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200.00</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200.00</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20503</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职业教育</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14,276.57</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8,114.49</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6,162.08</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2050302</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中等职业教育</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13,313.72</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7,151.63</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6,162.08</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2050399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其他职业教育支出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962.85</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962.85</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教育费附加安排的支出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492.71</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492.71</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2050999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其他教育费附加安排的支出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492.71</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492.71</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其他教育支出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1,732.15</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1,732.15</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2059999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其他教育支出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1,732.15</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1,732.15</w:t>
            </w: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207</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文化旅游体育与传媒支出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2.55</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2.55</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20701</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文化和旅游</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2.55</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2.55</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2070199</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其他文化和旅游支出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2.55</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2.55</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208</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社会保障和就业支出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20.13</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20.13</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20805</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行政事业单位养老支出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20.13</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20.13</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48" w:hRule="atLeast"/>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 xml:space="preserve">    2080506</w:t>
            </w:r>
          </w:p>
        </w:tc>
        <w:tc>
          <w:tcPr>
            <w:tcW w:w="33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rPr>
              <w:t>机关事业单位职业年金缴费支出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20.13</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r>
              <w:rPr>
                <w:rFonts w:hint="eastAsia" w:ascii="仿宋" w:hAnsi="仿宋" w:eastAsia="仿宋" w:cs="仿宋"/>
              </w:rPr>
              <w:t>20.13</w:t>
            </w:r>
          </w:p>
        </w:tc>
        <w:tc>
          <w:tcPr>
            <w:tcW w:w="14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69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18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630" w:hRule="atLeast"/>
        </w:trPr>
        <w:tc>
          <w:tcPr>
            <w:tcW w:w="13935" w:type="dxa"/>
            <w:gridSpan w:val="8"/>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1"/>
                <w:szCs w:val="21"/>
              </w:rPr>
            </w:pPr>
            <w:r>
              <w:rPr>
                <w:rFonts w:hint="eastAsia" w:ascii="仿宋" w:hAnsi="仿宋" w:eastAsia="仿宋" w:cs="仿宋"/>
                <w:kern w:val="0"/>
                <w:sz w:val="21"/>
                <w:szCs w:val="21"/>
              </w:rPr>
              <w:t>注：本表反映部门本年度各项支出情况。</w:t>
            </w:r>
          </w:p>
        </w:tc>
      </w:tr>
    </w:tbl>
    <w:p>
      <w:pPr>
        <w:rPr>
          <w:rFonts w:ascii="Times New Roman" w:hAnsi="Times New Roman" w:eastAsia="方正小标宋_GBK" w:cs="Times New Roman"/>
          <w:color w:val="000000"/>
          <w:kern w:val="0"/>
          <w:sz w:val="36"/>
          <w:szCs w:val="21"/>
        </w:rPr>
        <w:sectPr>
          <w:pgSz w:w="16838" w:h="11906" w:orient="landscape"/>
          <w:pgMar w:top="1803" w:right="1440" w:bottom="1803" w:left="1440" w:header="851" w:footer="992" w:gutter="0"/>
          <w:pgNumType w:fmt="numberInDash"/>
          <w:cols w:space="0" w:num="1"/>
          <w:rtlGutter w:val="0"/>
          <w:docGrid w:type="lines" w:linePitch="319" w:charSpace="0"/>
        </w:sectPr>
      </w:pPr>
    </w:p>
    <w:tbl>
      <w:tblPr>
        <w:tblStyle w:val="7"/>
        <w:tblW w:w="15522" w:type="dxa"/>
        <w:tblInd w:w="91" w:type="dxa"/>
        <w:tblLayout w:type="fixed"/>
        <w:tblCellMar>
          <w:top w:w="0" w:type="dxa"/>
          <w:left w:w="108" w:type="dxa"/>
          <w:bottom w:w="0" w:type="dxa"/>
          <w:right w:w="108" w:type="dxa"/>
        </w:tblCellMar>
      </w:tblPr>
      <w:tblGrid>
        <w:gridCol w:w="3208"/>
        <w:gridCol w:w="760"/>
        <w:gridCol w:w="1600"/>
        <w:gridCol w:w="3380"/>
        <w:gridCol w:w="820"/>
        <w:gridCol w:w="1580"/>
        <w:gridCol w:w="1400"/>
        <w:gridCol w:w="1360"/>
        <w:gridCol w:w="1414"/>
      </w:tblGrid>
      <w:tr>
        <w:tblPrEx>
          <w:tblCellMar>
            <w:top w:w="0" w:type="dxa"/>
            <w:left w:w="108" w:type="dxa"/>
            <w:bottom w:w="0" w:type="dxa"/>
            <w:right w:w="108" w:type="dxa"/>
          </w:tblCellMar>
        </w:tblPrEx>
        <w:trPr>
          <w:trHeight w:val="360" w:hRule="atLeast"/>
        </w:trPr>
        <w:tc>
          <w:tcPr>
            <w:tcW w:w="15522" w:type="dxa"/>
            <w:gridSpan w:val="9"/>
            <w:tcBorders>
              <w:top w:val="nil"/>
              <w:left w:val="nil"/>
              <w:bottom w:val="nil"/>
              <w:right w:val="nil"/>
            </w:tcBorders>
            <w:shd w:val="clear" w:color="auto" w:fill="auto"/>
            <w:noWrap/>
            <w:vAlign w:val="center"/>
          </w:tcPr>
          <w:p>
            <w:pPr>
              <w:widowControl/>
              <w:jc w:val="center"/>
              <w:rPr>
                <w:rFonts w:hint="eastAsia" w:ascii="仿宋" w:hAnsi="仿宋" w:eastAsia="仿宋" w:cs="仿宋"/>
                <w:color w:val="000000"/>
                <w:kern w:val="0"/>
                <w:sz w:val="32"/>
                <w:szCs w:val="32"/>
              </w:rPr>
            </w:pPr>
            <w:bookmarkStart w:id="0" w:name="RANGE!A1:I22"/>
            <w:bookmarkEnd w:id="0"/>
            <w:bookmarkStart w:id="1" w:name="RANGE!A1:F16"/>
            <w:r>
              <w:rPr>
                <w:rFonts w:hint="eastAsia" w:ascii="仿宋" w:hAnsi="仿宋" w:eastAsia="仿宋" w:cs="仿宋"/>
                <w:b/>
                <w:bCs/>
                <w:color w:val="000000"/>
                <w:kern w:val="0"/>
                <w:sz w:val="32"/>
                <w:szCs w:val="32"/>
              </w:rPr>
              <w:t>财政拨款收入支出决算总表</w:t>
            </w:r>
          </w:p>
        </w:tc>
      </w:tr>
      <w:tr>
        <w:tblPrEx>
          <w:tblCellMar>
            <w:top w:w="0" w:type="dxa"/>
            <w:left w:w="108" w:type="dxa"/>
            <w:bottom w:w="0" w:type="dxa"/>
            <w:right w:w="108" w:type="dxa"/>
          </w:tblCellMar>
        </w:tblPrEx>
        <w:trPr>
          <w:trHeight w:val="148" w:hRule="atLeast"/>
        </w:trPr>
        <w:tc>
          <w:tcPr>
            <w:tcW w:w="14108" w:type="dxa"/>
            <w:gridSpan w:val="8"/>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1414" w:type="dxa"/>
            <w:tcBorders>
              <w:top w:val="nil"/>
              <w:left w:val="nil"/>
              <w:bottom w:val="nil"/>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公开04表</w:t>
            </w:r>
          </w:p>
        </w:tc>
      </w:tr>
      <w:tr>
        <w:tblPrEx>
          <w:tblCellMar>
            <w:top w:w="0" w:type="dxa"/>
            <w:left w:w="108" w:type="dxa"/>
            <w:bottom w:w="0" w:type="dxa"/>
            <w:right w:w="108" w:type="dxa"/>
          </w:tblCellMar>
        </w:tblPrEx>
        <w:trPr>
          <w:trHeight w:val="90" w:hRule="atLeast"/>
        </w:trPr>
        <w:tc>
          <w:tcPr>
            <w:tcW w:w="14108" w:type="dxa"/>
            <w:gridSpan w:val="8"/>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w:t>
            </w:r>
            <w:r>
              <w:rPr>
                <w:rFonts w:ascii="仿宋" w:hAnsi="仿宋" w:eastAsia="仿宋" w:cs="仿宋"/>
                <w:color w:val="000000"/>
                <w:sz w:val="20"/>
              </w:rPr>
              <w:t>衡阳幼儿师范高等专科学校</w:t>
            </w:r>
          </w:p>
        </w:tc>
        <w:tc>
          <w:tcPr>
            <w:tcW w:w="1414" w:type="dxa"/>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56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收入</w:t>
            </w:r>
          </w:p>
        </w:tc>
        <w:tc>
          <w:tcPr>
            <w:tcW w:w="9954"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支出</w:t>
            </w:r>
          </w:p>
        </w:tc>
      </w:tr>
      <w:tr>
        <w:tblPrEx>
          <w:tblCellMar>
            <w:top w:w="0" w:type="dxa"/>
            <w:left w:w="108" w:type="dxa"/>
            <w:bottom w:w="0" w:type="dxa"/>
            <w:right w:w="108" w:type="dxa"/>
          </w:tblCellMar>
        </w:tblPrEx>
        <w:trPr>
          <w:trHeight w:val="737"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0"/>
                <w:szCs w:val="20"/>
              </w:rPr>
            </w:pPr>
            <w:r>
              <w:rPr>
                <w:rFonts w:hint="eastAsia" w:ascii="仿宋" w:hAnsi="仿宋" w:eastAsia="仿宋" w:cs="仿宋"/>
                <w:kern w:val="0"/>
                <w:sz w:val="20"/>
                <w:szCs w:val="20"/>
              </w:rPr>
              <w:t>行次</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金额</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    目</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0"/>
                <w:szCs w:val="20"/>
              </w:rPr>
            </w:pPr>
            <w:r>
              <w:rPr>
                <w:rFonts w:hint="eastAsia" w:ascii="仿宋" w:hAnsi="仿宋" w:eastAsia="仿宋" w:cs="仿宋"/>
                <w:kern w:val="0"/>
                <w:sz w:val="20"/>
                <w:szCs w:val="20"/>
              </w:rPr>
              <w:t>行次</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一般公共预算财政拨款</w:t>
            </w:r>
          </w:p>
        </w:tc>
        <w:tc>
          <w:tcPr>
            <w:tcW w:w="13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政府性基金预算财政拨款</w:t>
            </w:r>
          </w:p>
        </w:tc>
        <w:tc>
          <w:tcPr>
            <w:tcW w:w="14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ascii="仿宋" w:hAnsi="仿宋" w:eastAsia="仿宋" w:cs="仿宋"/>
                <w:sz w:val="24"/>
              </w:rPr>
              <w:t>栏    次</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栏    次</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lang w:val="en-US" w:eastAsia="zh-CN"/>
              </w:rPr>
            </w:pPr>
            <w:r>
              <w:rPr>
                <w:rFonts w:hint="eastAsia" w:ascii="仿宋" w:hAnsi="仿宋" w:eastAsia="仿宋" w:cs="仿宋"/>
              </w:rPr>
              <w:t>2</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rPr>
              <w:t>3</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rPr>
              <w:t>4</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rPr>
              <w:t>5</w:t>
            </w: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一、一般公共预算财政拨款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8,513.98</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一、一般公共服务支出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33</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二、政府性基金预算财政拨款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二、外交支出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34</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三、国有资本经营财政拨款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三、国防支出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35</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四、公共安全支出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36</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五、教育支出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37</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13,546.05</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13,546.05</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六、科学技术支出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38</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7</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七、文化旅游体育与传媒支出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39</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8</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八、社会保障和就业支出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20.13</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20.13</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9</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九、卫生健康支出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41</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十、节能环保支出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42</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11</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十一、城乡社区支出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43</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12</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十二、农林水支出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44</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13</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十三、交通运输支出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45</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14</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十四、资源勘探工业信息等支出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46</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15</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十五、商业服务业等支出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47</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16</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十六、金融支出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48</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17</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十七、援助其他地区支出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49</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18</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十八、自然资源海洋气象等支出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19</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十九、住房保障支出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51</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二十、粮油物资储备支出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52</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21</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二十一、国有资本经营预算支出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53</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22</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二十二、灾害防治及应急管理支出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54</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23</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二十三、其他支出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55</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24</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二十四、债务还本支出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56</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25</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二十五、债务付息支出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57</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02"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26</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二十六、抗疫特别国债安排的支出</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58</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97"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bCs/>
                <w:kern w:val="0"/>
                <w:sz w:val="22"/>
              </w:rPr>
            </w:pPr>
            <w:r>
              <w:rPr>
                <w:rFonts w:ascii="仿宋" w:hAnsi="仿宋" w:eastAsia="仿宋" w:cs="仿宋"/>
                <w:b/>
                <w:sz w:val="22"/>
              </w:rPr>
              <w:t>本年收入合计</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lang w:val="en-US" w:eastAsia="zh-CN"/>
              </w:rPr>
            </w:pPr>
            <w:r>
              <w:rPr>
                <w:rFonts w:hint="eastAsia" w:ascii="仿宋" w:hAnsi="仿宋" w:eastAsia="仿宋" w:cs="仿宋"/>
                <w:kern w:val="0"/>
                <w:sz w:val="22"/>
                <w:lang w:val="en-US" w:eastAsia="zh-CN"/>
              </w:rPr>
              <w:t>27</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kern w:val="0"/>
                <w:sz w:val="22"/>
              </w:rPr>
              <w:t>8,513.98</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本年支出合计</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lang w:val="en-US" w:eastAsia="zh-CN"/>
              </w:rPr>
            </w:pPr>
            <w:r>
              <w:rPr>
                <w:rFonts w:hint="eastAsia" w:ascii="仿宋" w:hAnsi="仿宋" w:eastAsia="仿宋" w:cs="仿宋"/>
                <w:kern w:val="0"/>
                <w:sz w:val="22"/>
                <w:lang w:val="en-US" w:eastAsia="zh-CN"/>
              </w:rPr>
              <w:t>59</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13,566.18</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13,566.18</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bCs/>
                <w:kern w:val="0"/>
                <w:sz w:val="22"/>
              </w:rPr>
            </w:pPr>
          </w:p>
        </w:tc>
      </w:tr>
      <w:tr>
        <w:tblPrEx>
          <w:tblCellMar>
            <w:top w:w="0" w:type="dxa"/>
            <w:left w:w="108" w:type="dxa"/>
            <w:bottom w:w="0" w:type="dxa"/>
            <w:right w:w="108" w:type="dxa"/>
          </w:tblCellMar>
        </w:tblPrEx>
        <w:trPr>
          <w:trHeight w:val="90"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年初财政拨款结转和结余</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28</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14855.09</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年末财政拨款结转和结余</w:t>
            </w: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9,802.88</w:t>
            </w: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8,364.63</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1,438.26</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90"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xml:space="preserve">  一般公共预算财政拨款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29</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13416.83</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61</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90"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xml:space="preserve">  政府性基金预算财政拨款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1438.26</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62</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90" w:hRule="atLeast"/>
        </w:trPr>
        <w:tc>
          <w:tcPr>
            <w:tcW w:w="320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r>
              <w:rPr>
                <w:rFonts w:hint="eastAsia" w:ascii="仿宋" w:hAnsi="仿宋" w:eastAsia="仿宋" w:cs="仿宋"/>
              </w:rPr>
              <w:t xml:space="preserve">  国有资本经营预算财政拨款</w:t>
            </w:r>
          </w:p>
        </w:tc>
        <w:tc>
          <w:tcPr>
            <w:tcW w:w="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31</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0.0</w:t>
            </w:r>
          </w:p>
        </w:tc>
        <w:tc>
          <w:tcPr>
            <w:tcW w:w="33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2"/>
              </w:rPr>
            </w:pPr>
          </w:p>
        </w:tc>
        <w:tc>
          <w:tcPr>
            <w:tcW w:w="8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rPr>
            </w:pPr>
            <w:r>
              <w:rPr>
                <w:rFonts w:hint="eastAsia" w:ascii="仿宋" w:hAnsi="仿宋" w:eastAsia="仿宋" w:cs="仿宋"/>
              </w:rPr>
              <w:t>63</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p>
        </w:tc>
      </w:tr>
      <w:tr>
        <w:tblPrEx>
          <w:tblCellMar>
            <w:top w:w="0" w:type="dxa"/>
            <w:left w:w="108" w:type="dxa"/>
            <w:bottom w:w="0" w:type="dxa"/>
            <w:right w:w="108" w:type="dxa"/>
          </w:tblCellMar>
        </w:tblPrEx>
        <w:trPr>
          <w:trHeight w:val="459" w:hRule="atLeast"/>
        </w:trPr>
        <w:tc>
          <w:tcPr>
            <w:tcW w:w="320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总计</w:t>
            </w:r>
          </w:p>
        </w:tc>
        <w:tc>
          <w:tcPr>
            <w:tcW w:w="76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lang w:val="en-US" w:eastAsia="zh-CN"/>
              </w:rPr>
            </w:pPr>
            <w:r>
              <w:rPr>
                <w:rFonts w:hint="eastAsia" w:ascii="仿宋" w:hAnsi="仿宋" w:eastAsia="仿宋" w:cs="仿宋"/>
                <w:kern w:val="0"/>
                <w:sz w:val="22"/>
                <w:lang w:val="en-US" w:eastAsia="zh-CN"/>
              </w:rPr>
              <w:t>32</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kern w:val="0"/>
                <w:sz w:val="22"/>
              </w:rPr>
              <w:t>23,369.06</w:t>
            </w:r>
          </w:p>
        </w:tc>
        <w:tc>
          <w:tcPr>
            <w:tcW w:w="33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bCs/>
                <w:kern w:val="0"/>
                <w:sz w:val="22"/>
              </w:rPr>
            </w:pPr>
            <w:r>
              <w:rPr>
                <w:rFonts w:hint="eastAsia" w:ascii="仿宋" w:hAnsi="仿宋" w:eastAsia="仿宋" w:cs="仿宋"/>
                <w:b/>
                <w:bCs/>
                <w:kern w:val="0"/>
                <w:sz w:val="22"/>
              </w:rPr>
              <w:t>总计</w:t>
            </w:r>
          </w:p>
        </w:tc>
        <w:tc>
          <w:tcPr>
            <w:tcW w:w="82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2"/>
                <w:lang w:val="en-US" w:eastAsia="zh-CN"/>
              </w:rPr>
            </w:pPr>
            <w:r>
              <w:rPr>
                <w:rFonts w:hint="eastAsia" w:ascii="仿宋" w:hAnsi="仿宋" w:eastAsia="仿宋" w:cs="仿宋"/>
                <w:kern w:val="0"/>
                <w:sz w:val="22"/>
                <w:lang w:val="en-US" w:eastAsia="zh-CN"/>
              </w:rPr>
              <w:t>64</w:t>
            </w:r>
          </w:p>
        </w:tc>
        <w:tc>
          <w:tcPr>
            <w:tcW w:w="158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23,369.06</w:t>
            </w:r>
          </w:p>
        </w:tc>
        <w:tc>
          <w:tcPr>
            <w:tcW w:w="140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2"/>
              </w:rPr>
            </w:pPr>
            <w:r>
              <w:rPr>
                <w:rFonts w:hint="eastAsia" w:ascii="仿宋" w:hAnsi="仿宋" w:eastAsia="仿宋" w:cs="仿宋"/>
              </w:rPr>
              <w:t>21,930.81</w:t>
            </w:r>
          </w:p>
        </w:tc>
        <w:tc>
          <w:tcPr>
            <w:tcW w:w="13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bCs/>
                <w:kern w:val="0"/>
                <w:sz w:val="22"/>
              </w:rPr>
            </w:pPr>
            <w:r>
              <w:rPr>
                <w:rFonts w:hint="eastAsia" w:ascii="仿宋" w:hAnsi="仿宋" w:eastAsia="仿宋" w:cs="仿宋"/>
              </w:rPr>
              <w:t>1,438.26</w:t>
            </w:r>
          </w:p>
        </w:tc>
        <w:tc>
          <w:tcPr>
            <w:tcW w:w="141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bCs/>
                <w:kern w:val="0"/>
                <w:sz w:val="22"/>
              </w:rPr>
            </w:pPr>
          </w:p>
        </w:tc>
      </w:tr>
      <w:tr>
        <w:tblPrEx>
          <w:tblCellMar>
            <w:top w:w="0" w:type="dxa"/>
            <w:left w:w="108" w:type="dxa"/>
            <w:bottom w:w="0" w:type="dxa"/>
            <w:right w:w="108" w:type="dxa"/>
          </w:tblCellMar>
        </w:tblPrEx>
        <w:trPr>
          <w:trHeight w:val="295" w:hRule="atLeast"/>
        </w:trPr>
        <w:tc>
          <w:tcPr>
            <w:tcW w:w="15522" w:type="dxa"/>
            <w:gridSpan w:val="9"/>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1"/>
                <w:szCs w:val="21"/>
              </w:rPr>
            </w:pPr>
            <w:r>
              <w:rPr>
                <w:rFonts w:hint="eastAsia" w:ascii="仿宋" w:hAnsi="仿宋" w:eastAsia="仿宋" w:cs="仿宋"/>
                <w:kern w:val="0"/>
                <w:sz w:val="21"/>
                <w:szCs w:val="21"/>
              </w:rPr>
              <w:t>注：本表反映部门本年度一般公共预算财政拨款、政府性基金预算财政拨款和国有资本经营预算财政拨款的总收支和年末结转结余情况。</w:t>
            </w:r>
          </w:p>
        </w:tc>
      </w:tr>
    </w:tbl>
    <w:p>
      <w:pPr>
        <w:widowControl/>
        <w:jc w:val="both"/>
        <w:rPr>
          <w:rFonts w:ascii="Times New Roman" w:hAnsi="Times New Roman" w:eastAsia="方正小标宋_GBK" w:cs="Times New Roman"/>
          <w:kern w:val="0"/>
          <w:sz w:val="36"/>
          <w:szCs w:val="36"/>
        </w:rPr>
        <w:sectPr>
          <w:pgSz w:w="16838" w:h="11906" w:orient="landscape"/>
          <w:pgMar w:top="1582" w:right="567" w:bottom="771" w:left="567" w:header="851" w:footer="992" w:gutter="0"/>
          <w:pgNumType w:fmt="numberInDash"/>
          <w:cols w:space="0" w:num="1"/>
          <w:rtlGutter w:val="0"/>
          <w:docGrid w:type="lines" w:linePitch="319" w:charSpace="0"/>
        </w:sectPr>
      </w:pPr>
    </w:p>
    <w:bookmarkEnd w:id="1"/>
    <w:tbl>
      <w:tblPr>
        <w:tblStyle w:val="7"/>
        <w:tblW w:w="14219" w:type="dxa"/>
        <w:jc w:val="center"/>
        <w:tblLayout w:type="fixed"/>
        <w:tblCellMar>
          <w:top w:w="0" w:type="dxa"/>
          <w:left w:w="108" w:type="dxa"/>
          <w:bottom w:w="0" w:type="dxa"/>
          <w:right w:w="108" w:type="dxa"/>
        </w:tblCellMar>
      </w:tblPr>
      <w:tblGrid>
        <w:gridCol w:w="1693"/>
        <w:gridCol w:w="4886"/>
        <w:gridCol w:w="2674"/>
        <w:gridCol w:w="2486"/>
        <w:gridCol w:w="2480"/>
      </w:tblGrid>
      <w:tr>
        <w:tblPrEx>
          <w:tblCellMar>
            <w:top w:w="0" w:type="dxa"/>
            <w:left w:w="108" w:type="dxa"/>
            <w:bottom w:w="0" w:type="dxa"/>
            <w:right w:w="108" w:type="dxa"/>
          </w:tblCellMar>
        </w:tblPrEx>
        <w:trPr>
          <w:trHeight w:val="405" w:hRule="atLeast"/>
          <w:jc w:val="center"/>
        </w:trPr>
        <w:tc>
          <w:tcPr>
            <w:tcW w:w="14219" w:type="dxa"/>
            <w:gridSpan w:val="5"/>
            <w:tcBorders>
              <w:top w:val="nil"/>
              <w:left w:val="nil"/>
              <w:bottom w:val="nil"/>
              <w:right w:val="nil"/>
            </w:tcBorders>
            <w:shd w:val="clear" w:color="auto" w:fill="auto"/>
            <w:vAlign w:val="center"/>
          </w:tcPr>
          <w:p>
            <w:pPr>
              <w:widowControl/>
              <w:jc w:val="center"/>
              <w:rPr>
                <w:rFonts w:hint="eastAsia" w:ascii="仿宋" w:hAnsi="仿宋" w:eastAsia="仿宋" w:cs="仿宋"/>
                <w:b/>
                <w:kern w:val="0"/>
                <w:szCs w:val="21"/>
              </w:rPr>
            </w:pPr>
            <w:r>
              <w:rPr>
                <w:rFonts w:hint="eastAsia" w:ascii="仿宋" w:hAnsi="仿宋" w:eastAsia="仿宋" w:cs="仿宋"/>
                <w:b/>
                <w:bCs/>
                <w:kern w:val="0"/>
                <w:sz w:val="36"/>
                <w:szCs w:val="36"/>
              </w:rPr>
              <w:t>一般公共预算财政拨款支出决算表</w:t>
            </w:r>
          </w:p>
        </w:tc>
      </w:tr>
      <w:tr>
        <w:tblPrEx>
          <w:tblCellMar>
            <w:top w:w="0" w:type="dxa"/>
            <w:left w:w="108" w:type="dxa"/>
            <w:bottom w:w="0" w:type="dxa"/>
            <w:right w:w="108" w:type="dxa"/>
          </w:tblCellMar>
        </w:tblPrEx>
        <w:trPr>
          <w:trHeight w:val="405" w:hRule="atLeast"/>
          <w:jc w:val="center"/>
        </w:trPr>
        <w:tc>
          <w:tcPr>
            <w:tcW w:w="14219" w:type="dxa"/>
            <w:gridSpan w:val="5"/>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kern w:val="0"/>
                <w:szCs w:val="21"/>
              </w:rPr>
            </w:pPr>
            <w:r>
              <w:rPr>
                <w:rFonts w:hint="eastAsia" w:ascii="仿宋" w:hAnsi="仿宋" w:eastAsia="仿宋" w:cs="仿宋"/>
                <w:color w:val="000000"/>
                <w:kern w:val="0"/>
                <w:szCs w:val="21"/>
              </w:rPr>
              <w:t>公开05表</w:t>
            </w:r>
          </w:p>
        </w:tc>
      </w:tr>
      <w:tr>
        <w:tblPrEx>
          <w:tblCellMar>
            <w:top w:w="0" w:type="dxa"/>
            <w:left w:w="108" w:type="dxa"/>
            <w:bottom w:w="0" w:type="dxa"/>
            <w:right w:w="108" w:type="dxa"/>
          </w:tblCellMar>
        </w:tblPrEx>
        <w:trPr>
          <w:trHeight w:val="405" w:hRule="atLeast"/>
          <w:jc w:val="center"/>
        </w:trPr>
        <w:tc>
          <w:tcPr>
            <w:tcW w:w="6579" w:type="dxa"/>
            <w:gridSpan w:val="2"/>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kern w:val="0"/>
                <w:szCs w:val="21"/>
              </w:rPr>
            </w:pPr>
            <w:r>
              <w:rPr>
                <w:rFonts w:hint="eastAsia" w:ascii="仿宋" w:hAnsi="仿宋" w:eastAsia="仿宋" w:cs="仿宋"/>
                <w:color w:val="000000"/>
                <w:kern w:val="0"/>
                <w:szCs w:val="21"/>
                <w:lang w:eastAsia="zh-CN"/>
              </w:rPr>
              <w:t>部门</w:t>
            </w:r>
            <w:r>
              <w:rPr>
                <w:rFonts w:hint="eastAsia" w:ascii="仿宋" w:hAnsi="仿宋" w:eastAsia="仿宋" w:cs="仿宋"/>
                <w:color w:val="000000"/>
                <w:kern w:val="0"/>
                <w:szCs w:val="21"/>
              </w:rPr>
              <w:t>：</w:t>
            </w:r>
            <w:r>
              <w:rPr>
                <w:rFonts w:ascii="仿宋" w:hAnsi="仿宋" w:eastAsia="仿宋" w:cs="仿宋"/>
                <w:color w:val="000000"/>
              </w:rPr>
              <w:t>衡阳幼儿师范高等专科学校</w:t>
            </w:r>
          </w:p>
        </w:tc>
        <w:tc>
          <w:tcPr>
            <w:tcW w:w="7640" w:type="dxa"/>
            <w:gridSpan w:val="3"/>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kern w:val="0"/>
                <w:szCs w:val="21"/>
              </w:rPr>
            </w:pPr>
            <w:r>
              <w:rPr>
                <w:rFonts w:hint="eastAsia" w:ascii="仿宋" w:hAnsi="仿宋" w:eastAsia="仿宋" w:cs="仿宋"/>
                <w:color w:val="000000"/>
                <w:kern w:val="0"/>
                <w:szCs w:val="21"/>
              </w:rPr>
              <w:t>单位：万元</w:t>
            </w:r>
          </w:p>
        </w:tc>
      </w:tr>
      <w:tr>
        <w:tblPrEx>
          <w:tblCellMar>
            <w:top w:w="0" w:type="dxa"/>
            <w:left w:w="108" w:type="dxa"/>
            <w:bottom w:w="0" w:type="dxa"/>
            <w:right w:w="108" w:type="dxa"/>
          </w:tblCellMar>
        </w:tblPrEx>
        <w:trPr>
          <w:trHeight w:val="90" w:hRule="atLeast"/>
          <w:jc w:val="center"/>
        </w:trPr>
        <w:tc>
          <w:tcPr>
            <w:tcW w:w="657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 xml:space="preserve">项 </w:t>
            </w:r>
            <w:r>
              <w:rPr>
                <w:rFonts w:hint="eastAsia" w:ascii="仿宋" w:hAnsi="仿宋" w:eastAsia="仿宋" w:cs="仿宋"/>
                <w:b/>
                <w:color w:val="000000"/>
                <w:kern w:val="0"/>
                <w:szCs w:val="21"/>
              </w:rPr>
              <w:t xml:space="preserve">   </w:t>
            </w:r>
            <w:r>
              <w:rPr>
                <w:rFonts w:hint="eastAsia" w:ascii="仿宋" w:hAnsi="仿宋" w:eastAsia="仿宋" w:cs="仿宋"/>
                <w:b/>
                <w:kern w:val="0"/>
                <w:szCs w:val="21"/>
              </w:rPr>
              <w:t>目</w:t>
            </w:r>
          </w:p>
        </w:tc>
        <w:tc>
          <w:tcPr>
            <w:tcW w:w="76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本年支出</w:t>
            </w:r>
          </w:p>
        </w:tc>
      </w:tr>
      <w:tr>
        <w:tblPrEx>
          <w:tblCellMar>
            <w:top w:w="0" w:type="dxa"/>
            <w:left w:w="108" w:type="dxa"/>
            <w:bottom w:w="0" w:type="dxa"/>
            <w:right w:w="108" w:type="dxa"/>
          </w:tblCellMar>
        </w:tblPrEx>
        <w:trPr>
          <w:trHeight w:val="495" w:hRule="atLeast"/>
          <w:jc w:val="center"/>
        </w:trPr>
        <w:tc>
          <w:tcPr>
            <w:tcW w:w="16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功能分类</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科目编码</w:t>
            </w:r>
          </w:p>
        </w:tc>
        <w:tc>
          <w:tcPr>
            <w:tcW w:w="48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科目名称</w:t>
            </w:r>
          </w:p>
        </w:tc>
        <w:tc>
          <w:tcPr>
            <w:tcW w:w="26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小计</w:t>
            </w:r>
          </w:p>
        </w:tc>
        <w:tc>
          <w:tcPr>
            <w:tcW w:w="24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基本支出</w:t>
            </w:r>
          </w:p>
        </w:tc>
        <w:tc>
          <w:tcPr>
            <w:tcW w:w="2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b/>
                <w:kern w:val="0"/>
                <w:szCs w:val="21"/>
              </w:rPr>
            </w:pPr>
            <w:r>
              <w:rPr>
                <w:rFonts w:hint="eastAsia" w:ascii="仿宋" w:hAnsi="仿宋" w:eastAsia="仿宋" w:cs="仿宋"/>
                <w:b/>
                <w:kern w:val="0"/>
                <w:szCs w:val="21"/>
              </w:rPr>
              <w:t>项目支出</w:t>
            </w:r>
          </w:p>
        </w:tc>
      </w:tr>
      <w:tr>
        <w:tblPrEx>
          <w:tblCellMar>
            <w:top w:w="0" w:type="dxa"/>
            <w:left w:w="108" w:type="dxa"/>
            <w:bottom w:w="0" w:type="dxa"/>
            <w:right w:w="108" w:type="dxa"/>
          </w:tblCellMar>
        </w:tblPrEx>
        <w:trPr>
          <w:trHeight w:val="360" w:hRule="atLeast"/>
          <w:jc w:val="center"/>
        </w:trPr>
        <w:tc>
          <w:tcPr>
            <w:tcW w:w="169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48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67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4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4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312" w:hRule="atLeast"/>
          <w:jc w:val="center"/>
        </w:trPr>
        <w:tc>
          <w:tcPr>
            <w:tcW w:w="169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48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67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48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24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450" w:hRule="atLeast"/>
          <w:jc w:val="center"/>
        </w:trPr>
        <w:tc>
          <w:tcPr>
            <w:tcW w:w="657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栏次</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1</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2</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3</w:t>
            </w:r>
          </w:p>
        </w:tc>
      </w:tr>
      <w:tr>
        <w:tblPrEx>
          <w:tblCellMar>
            <w:top w:w="0" w:type="dxa"/>
            <w:left w:w="108" w:type="dxa"/>
            <w:bottom w:w="0" w:type="dxa"/>
            <w:right w:w="108" w:type="dxa"/>
          </w:tblCellMar>
        </w:tblPrEx>
        <w:trPr>
          <w:trHeight w:val="450" w:hRule="atLeast"/>
          <w:jc w:val="center"/>
        </w:trPr>
        <w:tc>
          <w:tcPr>
            <w:tcW w:w="657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ascii="仿宋" w:hAnsi="仿宋" w:eastAsia="仿宋" w:cs="仿宋"/>
              </w:rPr>
              <w:t>合计</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13,566.18</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7,874.58</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5,691.60</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205</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教育支出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13,546.05</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7,854.45</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5,691.60</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20502</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普通教育</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210.10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210.10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2050201</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学前教育</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210.10</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210.10</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20503</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职业教育</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11,111.09</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7,151.63</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3,959.46</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2050302</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中等职业教育</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11,111.09</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7,151.63</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3,959.46</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20509</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教育费附加安排的支出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492.71</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492.71</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2050999</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其他教育费附加安排的支出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492.71</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492.71</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20599</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其他教育支出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1,732.15</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1,732.15</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2059999</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其他教育支出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1,732.15</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1,732.15</w:t>
            </w: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208</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社会保障和就业支出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20.13</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20.13</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20805</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行政事业单位养老支出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20.13</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20.13</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448" w:hRule="atLeast"/>
          <w:jc w:val="center"/>
        </w:trPr>
        <w:tc>
          <w:tcPr>
            <w:tcW w:w="16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2080506</w:t>
            </w:r>
          </w:p>
        </w:tc>
        <w:tc>
          <w:tcPr>
            <w:tcW w:w="4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机关事业单位职业年金缴费支出</w:t>
            </w:r>
          </w:p>
        </w:tc>
        <w:tc>
          <w:tcPr>
            <w:tcW w:w="2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20.13</w:t>
            </w:r>
          </w:p>
        </w:tc>
        <w:tc>
          <w:tcPr>
            <w:tcW w:w="2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20.13</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90" w:hRule="atLeast"/>
          <w:jc w:val="center"/>
        </w:trPr>
        <w:tc>
          <w:tcPr>
            <w:tcW w:w="14219" w:type="dxa"/>
            <w:gridSpan w:val="5"/>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sectPr>
          <w:pgSz w:w="16838" w:h="11906" w:orient="landscape"/>
          <w:pgMar w:top="1803" w:right="1440" w:bottom="1803" w:left="1440" w:header="851" w:footer="992" w:gutter="0"/>
          <w:pgNumType w:fmt="numberInDash"/>
          <w:cols w:space="0" w:num="1"/>
          <w:rtlGutter w:val="0"/>
          <w:docGrid w:type="lines" w:linePitch="319" w:charSpace="0"/>
        </w:sectPr>
      </w:pPr>
    </w:p>
    <w:tbl>
      <w:tblPr>
        <w:tblStyle w:val="7"/>
        <w:tblW w:w="0" w:type="auto"/>
        <w:tblInd w:w="0" w:type="dxa"/>
        <w:tblLayout w:type="fixed"/>
        <w:tblCellMar>
          <w:top w:w="0" w:type="dxa"/>
          <w:left w:w="108" w:type="dxa"/>
          <w:bottom w:w="0" w:type="dxa"/>
          <w:right w:w="108" w:type="dxa"/>
        </w:tblCellMar>
      </w:tblPr>
      <w:tblGrid>
        <w:gridCol w:w="1068"/>
        <w:gridCol w:w="3153"/>
        <w:gridCol w:w="1260"/>
        <w:gridCol w:w="1220"/>
        <w:gridCol w:w="2920"/>
        <w:gridCol w:w="1180"/>
        <w:gridCol w:w="1180"/>
        <w:gridCol w:w="2520"/>
        <w:gridCol w:w="1300"/>
      </w:tblGrid>
      <w:tr>
        <w:tblPrEx>
          <w:tblCellMar>
            <w:top w:w="0" w:type="dxa"/>
            <w:left w:w="108" w:type="dxa"/>
            <w:bottom w:w="0" w:type="dxa"/>
            <w:right w:w="108" w:type="dxa"/>
          </w:tblCellMar>
        </w:tblPrEx>
        <w:trPr>
          <w:trHeight w:val="113" w:hRule="atLeast"/>
        </w:trPr>
        <w:tc>
          <w:tcPr>
            <w:tcW w:w="15801" w:type="dxa"/>
            <w:gridSpan w:val="9"/>
            <w:tcBorders>
              <w:top w:val="nil"/>
              <w:left w:val="nil"/>
              <w:bottom w:val="nil"/>
              <w:right w:val="nil"/>
            </w:tcBorders>
            <w:shd w:val="clear" w:color="auto" w:fill="auto"/>
            <w:vAlign w:val="center"/>
          </w:tcPr>
          <w:p>
            <w:pPr>
              <w:widowControl/>
              <w:jc w:val="center"/>
              <w:rPr>
                <w:rFonts w:hint="eastAsia" w:ascii="仿宋" w:hAnsi="仿宋" w:eastAsia="仿宋" w:cs="仿宋"/>
                <w:color w:val="000000"/>
                <w:kern w:val="0"/>
                <w:szCs w:val="20"/>
              </w:rPr>
            </w:pPr>
            <w:bookmarkStart w:id="2" w:name="RANGE!A1:I34"/>
            <w:r>
              <w:rPr>
                <w:rFonts w:hint="eastAsia" w:ascii="仿宋" w:hAnsi="仿宋" w:eastAsia="仿宋" w:cs="仿宋"/>
                <w:b/>
                <w:bCs/>
                <w:kern w:val="0"/>
                <w:sz w:val="36"/>
                <w:szCs w:val="36"/>
              </w:rPr>
              <w:t>一般公共预算财政拨款基本支出决算表</w:t>
            </w:r>
            <w:bookmarkEnd w:id="2"/>
          </w:p>
        </w:tc>
      </w:tr>
      <w:tr>
        <w:tblPrEx>
          <w:tblCellMar>
            <w:top w:w="0" w:type="dxa"/>
            <w:left w:w="108" w:type="dxa"/>
            <w:bottom w:w="0" w:type="dxa"/>
            <w:right w:w="108" w:type="dxa"/>
          </w:tblCellMar>
        </w:tblPrEx>
        <w:trPr>
          <w:trHeight w:val="90" w:hRule="atLeast"/>
        </w:trPr>
        <w:tc>
          <w:tcPr>
            <w:tcW w:w="15801" w:type="dxa"/>
            <w:gridSpan w:val="9"/>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1"/>
              </w:rPr>
              <w:t>公开06表</w:t>
            </w:r>
          </w:p>
        </w:tc>
      </w:tr>
      <w:tr>
        <w:tblPrEx>
          <w:tblCellMar>
            <w:top w:w="0" w:type="dxa"/>
            <w:left w:w="108" w:type="dxa"/>
            <w:bottom w:w="0" w:type="dxa"/>
            <w:right w:w="108" w:type="dxa"/>
          </w:tblCellMar>
        </w:tblPrEx>
        <w:trPr>
          <w:trHeight w:val="113" w:hRule="atLeast"/>
        </w:trPr>
        <w:tc>
          <w:tcPr>
            <w:tcW w:w="11981" w:type="dxa"/>
            <w:gridSpan w:val="7"/>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1"/>
                <w:lang w:eastAsia="zh-CN"/>
              </w:rPr>
              <w:t>部门</w:t>
            </w:r>
            <w:r>
              <w:rPr>
                <w:rFonts w:hint="eastAsia" w:ascii="仿宋" w:hAnsi="仿宋" w:eastAsia="仿宋" w:cs="仿宋"/>
                <w:color w:val="000000"/>
                <w:kern w:val="0"/>
                <w:szCs w:val="21"/>
              </w:rPr>
              <w:t>：</w:t>
            </w:r>
            <w:r>
              <w:rPr>
                <w:rFonts w:ascii="仿宋" w:hAnsi="仿宋" w:eastAsia="仿宋" w:cs="仿宋"/>
                <w:color w:val="000000"/>
              </w:rPr>
              <w:t>衡阳幼儿师范高等专科学校</w:t>
            </w:r>
          </w:p>
        </w:tc>
        <w:tc>
          <w:tcPr>
            <w:tcW w:w="3820" w:type="dxa"/>
            <w:gridSpan w:val="2"/>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1"/>
              </w:rPr>
              <w:t>单位：万元</w:t>
            </w:r>
          </w:p>
        </w:tc>
      </w:tr>
      <w:tr>
        <w:tblPrEx>
          <w:tblCellMar>
            <w:top w:w="0" w:type="dxa"/>
            <w:left w:w="108" w:type="dxa"/>
            <w:bottom w:w="0" w:type="dxa"/>
            <w:right w:w="108" w:type="dxa"/>
          </w:tblCellMar>
        </w:tblPrEx>
        <w:trPr>
          <w:trHeight w:val="113" w:hRule="atLeast"/>
        </w:trPr>
        <w:tc>
          <w:tcPr>
            <w:tcW w:w="54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人员经费</w:t>
            </w:r>
          </w:p>
        </w:tc>
        <w:tc>
          <w:tcPr>
            <w:tcW w:w="103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公用经费</w:t>
            </w:r>
          </w:p>
        </w:tc>
      </w:tr>
      <w:tr>
        <w:tblPrEx>
          <w:tblCellMar>
            <w:top w:w="0" w:type="dxa"/>
            <w:left w:w="108" w:type="dxa"/>
            <w:bottom w:w="0" w:type="dxa"/>
            <w:right w:w="108" w:type="dxa"/>
          </w:tblCellMar>
        </w:tblPrEx>
        <w:trPr>
          <w:trHeight w:val="113" w:hRule="atLeast"/>
        </w:trPr>
        <w:tc>
          <w:tcPr>
            <w:tcW w:w="10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ascii="仿宋" w:hAnsi="仿宋" w:eastAsia="仿宋" w:cs="仿宋"/>
                <w:color w:val="000000"/>
                <w:sz w:val="20"/>
              </w:rPr>
              <w:t>经济分类科目编码</w:t>
            </w:r>
          </w:p>
        </w:tc>
        <w:tc>
          <w:tcPr>
            <w:tcW w:w="31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科目名称</w:t>
            </w:r>
          </w:p>
        </w:tc>
        <w:tc>
          <w:tcPr>
            <w:tcW w:w="12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决算数</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经济分类科目编码</w:t>
            </w:r>
          </w:p>
        </w:tc>
        <w:tc>
          <w:tcPr>
            <w:tcW w:w="29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科目名称</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决算数</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经济分类科目编码</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科目名称</w:t>
            </w:r>
          </w:p>
        </w:tc>
        <w:tc>
          <w:tcPr>
            <w:tcW w:w="13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决算数</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工资福利支出</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6,731.80</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商品和服务支出</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710.54</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307</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债务利息及费用支出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30101</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基本工资</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2,018.77</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30201</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办公费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55.39</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30701</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国内债务付息</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30102</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津贴补贴</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48.69</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30202</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印刷费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10.27</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30702</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国外债务付息</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30103</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奖金</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1,067.53</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30203</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咨询费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6.09</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资本性支出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177.64</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30106</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伙食补助费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7.77</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30204</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手续费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0.22</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31001</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房屋建筑物购建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30107</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绩效工资</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1,067.64</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30205</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水费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14.58</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31002</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办公设备购置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113.59</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30108</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机关事业单位基本养老保险缴费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472.89</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30206</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电费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20.56</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31003</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专用设备购置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49.02</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30109</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职业年金缴费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14.30</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30207</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邮电费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19.12</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31005</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基础设施建设</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30110</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职工基本医疗保险缴费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797.44</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30208</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取暖费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31006</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大型修缮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30111</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公务员医疗补助缴费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183.54</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30209</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物业管理费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99.38</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31007</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信息网络及软件购置更新</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30112</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其他社会保障缴费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25.03</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30211</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差旅费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28.46</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31008</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物资储备</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30113</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住房公积金</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480.13</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30212</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因公出国（境）费用</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31009</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土地补偿</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30114</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医疗费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46.32</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30213</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维修（护）费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94.37</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31010</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安置补助</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30199</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其他工资福利支出</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501.76</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30214</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租赁费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7.67</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31011</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地上附着物和青苗补偿</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对个人和家庭的补助</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254.60</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30215</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会议费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0.15</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31012</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拆迁补偿</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30301</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离休费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30216</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培训费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60.19</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31013</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公务用车购置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30302</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退休费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30217</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公务接待费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2.59</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31019</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其他交通工具购置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30303</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退职（役）费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30218</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专用材料费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30.48</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31021</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文物和陈列品购置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30304</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抚恤金</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22.01</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30224</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被装购置费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31022</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无形资产购置</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30305</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生活补助</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5.76</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30225</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专用燃料费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0.46</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31099</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其他资本性支出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15.03</w:t>
            </w: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30306</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救济费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30226</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劳务费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6.43</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399</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其他支出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30307</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医疗费补助</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15.47</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30227</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委托业务费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39906</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赠与</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30308</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助学金</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12.80</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30228</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工会经费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156.79</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39907</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国家赔偿费用支出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30309</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奖励金</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171.82</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30229</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福利费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39908</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对民间非营利组织和群众性自治组织补贴</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30310</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个人农业生产补贴</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30231</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公务用车运行维护费</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0.68</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39999</w:t>
            </w: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r>
              <w:rPr>
                <w:rFonts w:hint="eastAsia" w:ascii="仿宋" w:hAnsi="仿宋" w:eastAsia="仿宋" w:cs="仿宋"/>
              </w:rPr>
              <w:t xml:space="preserve">  其他支出</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30311</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代缴社会保险费</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30239</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其他交通费用</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8.65</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30399</w:t>
            </w: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其他对个人和家庭的补助</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26.73</w:t>
            </w: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30240</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税金及附加费用</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394" w:hRule="exact"/>
        </w:trPr>
        <w:tc>
          <w:tcPr>
            <w:tcW w:w="106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p>
        </w:tc>
        <w:tc>
          <w:tcPr>
            <w:tcW w:w="31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c>
          <w:tcPr>
            <w:tcW w:w="12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30299</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0"/>
              </w:rPr>
            </w:pPr>
            <w:r>
              <w:rPr>
                <w:rFonts w:hint="eastAsia" w:ascii="仿宋" w:hAnsi="仿宋" w:eastAsia="仿宋" w:cs="仿宋"/>
              </w:rPr>
              <w:t xml:space="preserve">  其他商品和服务支出</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rPr>
              <w:t>88.00</w:t>
            </w: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p>
        </w:tc>
        <w:tc>
          <w:tcPr>
            <w:tcW w:w="2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18"/>
              </w:rPr>
            </w:pP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p>
        </w:tc>
      </w:tr>
      <w:tr>
        <w:tblPrEx>
          <w:tblCellMar>
            <w:top w:w="0" w:type="dxa"/>
            <w:left w:w="108" w:type="dxa"/>
            <w:bottom w:w="0" w:type="dxa"/>
            <w:right w:w="108" w:type="dxa"/>
          </w:tblCellMar>
        </w:tblPrEx>
        <w:trPr>
          <w:trHeight w:val="403" w:hRule="exact"/>
        </w:trPr>
        <w:tc>
          <w:tcPr>
            <w:tcW w:w="422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人员经费合计</w:t>
            </w: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6,986.39</w:t>
            </w:r>
          </w:p>
        </w:tc>
        <w:tc>
          <w:tcPr>
            <w:tcW w:w="902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Cs w:val="20"/>
              </w:rPr>
            </w:pPr>
            <w:r>
              <w:rPr>
                <w:rFonts w:hint="eastAsia" w:ascii="仿宋" w:hAnsi="仿宋" w:eastAsia="仿宋" w:cs="仿宋"/>
                <w:color w:val="000000"/>
                <w:kern w:val="0"/>
                <w:szCs w:val="20"/>
              </w:rPr>
              <w:t>公用经费合计</w:t>
            </w:r>
          </w:p>
        </w:tc>
        <w:tc>
          <w:tcPr>
            <w:tcW w:w="13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Cs w:val="18"/>
              </w:rPr>
            </w:pPr>
            <w:r>
              <w:rPr>
                <w:rFonts w:hint="eastAsia" w:ascii="仿宋" w:hAnsi="仿宋" w:eastAsia="仿宋" w:cs="仿宋"/>
                <w:color w:val="000000"/>
                <w:kern w:val="0"/>
                <w:szCs w:val="18"/>
              </w:rPr>
              <w:t>888.18</w:t>
            </w:r>
          </w:p>
        </w:tc>
      </w:tr>
      <w:tr>
        <w:tblPrEx>
          <w:tblCellMar>
            <w:top w:w="0" w:type="dxa"/>
            <w:left w:w="108" w:type="dxa"/>
            <w:bottom w:w="0" w:type="dxa"/>
            <w:right w:w="108" w:type="dxa"/>
          </w:tblCellMar>
        </w:tblPrEx>
        <w:trPr>
          <w:trHeight w:val="641" w:hRule="exact"/>
        </w:trPr>
        <w:tc>
          <w:tcPr>
            <w:tcW w:w="15801" w:type="dxa"/>
            <w:gridSpan w:val="9"/>
            <w:tcBorders>
              <w:top w:val="single" w:color="auto" w:sz="4" w:space="0"/>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color w:val="000000"/>
                <w:kern w:val="0"/>
                <w:szCs w:val="24"/>
              </w:rPr>
            </w:pPr>
            <w:r>
              <w:rPr>
                <w:rFonts w:hint="eastAsia" w:ascii="仿宋" w:hAnsi="仿宋" w:eastAsia="仿宋" w:cs="仿宋"/>
                <w:color w:val="000000"/>
                <w:kern w:val="0"/>
                <w:szCs w:val="24"/>
              </w:rPr>
              <w:t>注：本表反映部门本年度一般公共预算财政拨款基本支出明细情况。</w:t>
            </w:r>
          </w:p>
          <w:p>
            <w:pPr>
              <w:widowControl/>
              <w:jc w:val="left"/>
              <w:rPr>
                <w:rFonts w:hint="eastAsia" w:ascii="仿宋" w:hAnsi="仿宋" w:eastAsia="仿宋" w:cs="仿宋"/>
                <w:color w:val="000000"/>
                <w:kern w:val="0"/>
                <w:szCs w:val="24"/>
              </w:rPr>
            </w:pPr>
          </w:p>
          <w:p>
            <w:pPr>
              <w:widowControl/>
              <w:jc w:val="left"/>
              <w:rPr>
                <w:rFonts w:hint="eastAsia" w:ascii="仿宋" w:hAnsi="仿宋" w:eastAsia="仿宋" w:cs="仿宋"/>
                <w:color w:val="000000"/>
                <w:kern w:val="0"/>
                <w:szCs w:val="24"/>
              </w:rPr>
            </w:pPr>
          </w:p>
        </w:tc>
      </w:tr>
    </w:tbl>
    <w:p>
      <w:pPr>
        <w:widowControl/>
        <w:jc w:val="center"/>
        <w:rPr>
          <w:rFonts w:hint="eastAsia" w:ascii="Times New Roman" w:hAnsi="Times New Roman" w:eastAsia="方正小标宋_GBK" w:cs="Times New Roman"/>
          <w:color w:val="000000"/>
          <w:kern w:val="0"/>
          <w:sz w:val="36"/>
          <w:szCs w:val="36"/>
        </w:rPr>
        <w:sectPr>
          <w:pgSz w:w="16838" w:h="11906" w:orient="landscape"/>
          <w:pgMar w:top="1582" w:right="567" w:bottom="771" w:left="567" w:header="851" w:footer="992" w:gutter="0"/>
          <w:pgNumType w:fmt="numberInDash"/>
          <w:cols w:space="0" w:num="1"/>
          <w:rtlGutter w:val="0"/>
          <w:docGrid w:type="lines" w:linePitch="319" w:charSpace="0"/>
        </w:sectPr>
      </w:pPr>
    </w:p>
    <w:tbl>
      <w:tblPr>
        <w:tblStyle w:val="7"/>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tblPrEx>
          <w:tblCellMar>
            <w:top w:w="0" w:type="dxa"/>
            <w:left w:w="108" w:type="dxa"/>
            <w:bottom w:w="0" w:type="dxa"/>
            <w:right w:w="108" w:type="dxa"/>
          </w:tblCellMar>
        </w:tblPrEx>
        <w:trPr>
          <w:trHeight w:val="397" w:hRule="atLeast"/>
          <w:jc w:val="center"/>
        </w:trPr>
        <w:tc>
          <w:tcPr>
            <w:tcW w:w="14640" w:type="dxa"/>
            <w:gridSpan w:val="12"/>
            <w:tcBorders>
              <w:top w:val="nil"/>
              <w:left w:val="nil"/>
              <w:bottom w:val="nil"/>
              <w:right w:val="nil"/>
            </w:tcBorders>
            <w:shd w:val="clear" w:color="auto" w:fill="auto"/>
            <w:vAlign w:val="center"/>
          </w:tcPr>
          <w:p>
            <w:pPr>
              <w:widowControl/>
              <w:jc w:val="center"/>
              <w:rPr>
                <w:rFonts w:hint="eastAsia" w:ascii="仿宋" w:hAnsi="仿宋" w:eastAsia="仿宋" w:cs="仿宋"/>
                <w:kern w:val="0"/>
                <w:szCs w:val="21"/>
              </w:rPr>
            </w:pPr>
            <w:r>
              <w:rPr>
                <w:rFonts w:hint="eastAsia" w:ascii="仿宋" w:hAnsi="仿宋" w:eastAsia="仿宋" w:cs="仿宋"/>
                <w:b/>
                <w:bCs/>
                <w:color w:val="000000"/>
                <w:kern w:val="0"/>
                <w:sz w:val="36"/>
                <w:szCs w:val="36"/>
              </w:rPr>
              <w:t>一般公共预算财政拨款“三公”经费支出决算表</w:t>
            </w:r>
          </w:p>
        </w:tc>
      </w:tr>
      <w:tr>
        <w:tblPrEx>
          <w:tblCellMar>
            <w:top w:w="0" w:type="dxa"/>
            <w:left w:w="108" w:type="dxa"/>
            <w:bottom w:w="0" w:type="dxa"/>
            <w:right w:w="108" w:type="dxa"/>
          </w:tblCellMar>
        </w:tblPrEx>
        <w:trPr>
          <w:trHeight w:val="157" w:hRule="atLeast"/>
          <w:jc w:val="center"/>
        </w:trPr>
        <w:tc>
          <w:tcPr>
            <w:tcW w:w="73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p>
        </w:tc>
        <w:tc>
          <w:tcPr>
            <w:tcW w:w="73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color w:val="000000"/>
                <w:kern w:val="0"/>
                <w:szCs w:val="21"/>
              </w:rPr>
              <w:t>公开07表</w:t>
            </w:r>
          </w:p>
        </w:tc>
      </w:tr>
      <w:tr>
        <w:tblPrEx>
          <w:tblCellMar>
            <w:top w:w="0" w:type="dxa"/>
            <w:left w:w="108" w:type="dxa"/>
            <w:bottom w:w="0" w:type="dxa"/>
            <w:right w:w="108" w:type="dxa"/>
          </w:tblCellMar>
        </w:tblPrEx>
        <w:trPr>
          <w:trHeight w:val="90" w:hRule="atLeast"/>
          <w:jc w:val="center"/>
        </w:trPr>
        <w:tc>
          <w:tcPr>
            <w:tcW w:w="7320" w:type="dxa"/>
            <w:gridSpan w:val="6"/>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color w:val="000000"/>
                <w:kern w:val="0"/>
                <w:szCs w:val="21"/>
                <w:lang w:eastAsia="zh-CN"/>
              </w:rPr>
              <w:t>部门</w:t>
            </w:r>
            <w:r>
              <w:rPr>
                <w:rFonts w:hint="eastAsia" w:ascii="仿宋" w:hAnsi="仿宋" w:eastAsia="仿宋" w:cs="仿宋"/>
                <w:color w:val="000000"/>
                <w:kern w:val="0"/>
                <w:szCs w:val="21"/>
              </w:rPr>
              <w:t>：</w:t>
            </w:r>
            <w:r>
              <w:rPr>
                <w:rFonts w:ascii="仿宋" w:hAnsi="仿宋" w:eastAsia="仿宋" w:cs="仿宋"/>
                <w:color w:val="000000"/>
              </w:rPr>
              <w:t>衡阳幼儿师范高等专科学校</w:t>
            </w:r>
          </w:p>
        </w:tc>
        <w:tc>
          <w:tcPr>
            <w:tcW w:w="7320" w:type="dxa"/>
            <w:gridSpan w:val="6"/>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color w:val="000000"/>
                <w:kern w:val="0"/>
                <w:szCs w:val="21"/>
              </w:rPr>
              <w:t>单位：万元</w:t>
            </w:r>
          </w:p>
        </w:tc>
      </w:tr>
      <w:tr>
        <w:tblPrEx>
          <w:tblCellMar>
            <w:top w:w="0" w:type="dxa"/>
            <w:left w:w="108" w:type="dxa"/>
            <w:bottom w:w="0" w:type="dxa"/>
            <w:right w:w="108" w:type="dxa"/>
          </w:tblCellMar>
        </w:tblPrEx>
        <w:trPr>
          <w:trHeight w:val="397" w:hRule="atLeast"/>
          <w:jc w:val="center"/>
        </w:trPr>
        <w:tc>
          <w:tcPr>
            <w:tcW w:w="73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预算数</w:t>
            </w:r>
          </w:p>
        </w:tc>
        <w:tc>
          <w:tcPr>
            <w:tcW w:w="73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决算数</w:t>
            </w:r>
          </w:p>
        </w:tc>
      </w:tr>
      <w:tr>
        <w:tblPrEx>
          <w:tblCellMar>
            <w:top w:w="0" w:type="dxa"/>
            <w:left w:w="108" w:type="dxa"/>
            <w:bottom w:w="0" w:type="dxa"/>
            <w:right w:w="108" w:type="dxa"/>
          </w:tblCellMar>
        </w:tblPrEx>
        <w:trPr>
          <w:trHeight w:val="397" w:hRule="atLeast"/>
          <w:jc w:val="center"/>
        </w:trPr>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合计</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因公出国（境）费</w:t>
            </w:r>
          </w:p>
        </w:tc>
        <w:tc>
          <w:tcPr>
            <w:tcW w:w="36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公务用车购置及运行费</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接待费</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合计</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因公出国（境）费</w:t>
            </w:r>
          </w:p>
        </w:tc>
        <w:tc>
          <w:tcPr>
            <w:tcW w:w="36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公务用车购置及运行费</w:t>
            </w:r>
          </w:p>
        </w:tc>
        <w:tc>
          <w:tcPr>
            <w:tcW w:w="12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接待费</w:t>
            </w:r>
          </w:p>
        </w:tc>
      </w:tr>
      <w:tr>
        <w:tblPrEx>
          <w:tblCellMar>
            <w:top w:w="0" w:type="dxa"/>
            <w:left w:w="108" w:type="dxa"/>
            <w:bottom w:w="0" w:type="dxa"/>
            <w:right w:w="108" w:type="dxa"/>
          </w:tblCellMar>
        </w:tblPrEx>
        <w:trPr>
          <w:trHeight w:val="397" w:hRule="atLeast"/>
          <w:jc w:val="center"/>
        </w:trPr>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小计</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w:t>
            </w:r>
            <w:r>
              <w:rPr>
                <w:rFonts w:hint="eastAsia" w:ascii="仿宋" w:hAnsi="仿宋" w:eastAsia="仿宋" w:cs="仿宋"/>
                <w:kern w:val="0"/>
                <w:szCs w:val="21"/>
              </w:rPr>
              <w:br w:type="textWrapping"/>
            </w:r>
            <w:r>
              <w:rPr>
                <w:rFonts w:hint="eastAsia" w:ascii="仿宋" w:hAnsi="仿宋" w:eastAsia="仿宋" w:cs="仿宋"/>
                <w:kern w:val="0"/>
                <w:szCs w:val="21"/>
              </w:rPr>
              <w:t>购置费</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w:t>
            </w:r>
            <w:r>
              <w:rPr>
                <w:rFonts w:hint="eastAsia" w:ascii="仿宋" w:hAnsi="仿宋" w:eastAsia="仿宋" w:cs="仿宋"/>
                <w:kern w:val="0"/>
                <w:szCs w:val="21"/>
              </w:rPr>
              <w:br w:type="textWrapping"/>
            </w:r>
            <w:r>
              <w:rPr>
                <w:rFonts w:hint="eastAsia" w:ascii="仿宋" w:hAnsi="仿宋" w:eastAsia="仿宋" w:cs="仿宋"/>
                <w:kern w:val="0"/>
                <w:szCs w:val="21"/>
              </w:rPr>
              <w:t>运行费</w:t>
            </w: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小计</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w:t>
            </w:r>
            <w:r>
              <w:rPr>
                <w:rFonts w:hint="eastAsia" w:ascii="仿宋" w:hAnsi="仿宋" w:eastAsia="仿宋" w:cs="仿宋"/>
                <w:kern w:val="0"/>
                <w:szCs w:val="21"/>
              </w:rPr>
              <w:br w:type="textWrapping"/>
            </w:r>
            <w:r>
              <w:rPr>
                <w:rFonts w:hint="eastAsia" w:ascii="仿宋" w:hAnsi="仿宋" w:eastAsia="仿宋" w:cs="仿宋"/>
                <w:kern w:val="0"/>
                <w:szCs w:val="21"/>
              </w:rPr>
              <w:t>购置费</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公务用车</w:t>
            </w:r>
            <w:r>
              <w:rPr>
                <w:rFonts w:hint="eastAsia" w:ascii="仿宋" w:hAnsi="仿宋" w:eastAsia="仿宋" w:cs="仿宋"/>
                <w:kern w:val="0"/>
                <w:szCs w:val="21"/>
              </w:rPr>
              <w:br w:type="textWrapping"/>
            </w:r>
            <w:r>
              <w:rPr>
                <w:rFonts w:hint="eastAsia" w:ascii="仿宋" w:hAnsi="仿宋" w:eastAsia="仿宋" w:cs="仿宋"/>
                <w:kern w:val="0"/>
                <w:szCs w:val="21"/>
              </w:rPr>
              <w:t>运行费</w:t>
            </w:r>
          </w:p>
        </w:tc>
        <w:tc>
          <w:tcPr>
            <w:tcW w:w="12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r>
      <w:tr>
        <w:tblPrEx>
          <w:tblCellMar>
            <w:top w:w="0" w:type="dxa"/>
            <w:left w:w="108" w:type="dxa"/>
            <w:bottom w:w="0" w:type="dxa"/>
            <w:right w:w="108" w:type="dxa"/>
          </w:tblCellMar>
        </w:tblPrEx>
        <w:trPr>
          <w:trHeight w:val="112" w:hRule="atLeast"/>
          <w:jc w:val="center"/>
        </w:trPr>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1</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2</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3</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4</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5</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6</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7</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8</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lang w:val="en-US" w:eastAsia="zh-CN"/>
              </w:rPr>
            </w:pPr>
            <w:r>
              <w:rPr>
                <w:rFonts w:hint="eastAsia" w:ascii="仿宋" w:hAnsi="仿宋" w:eastAsia="仿宋" w:cs="仿宋"/>
                <w:lang w:val="en-US" w:eastAsia="zh-CN"/>
              </w:rPr>
              <w:t>9</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default" w:ascii="仿宋" w:hAnsi="仿宋" w:eastAsia="仿宋" w:cs="仿宋"/>
                <w:lang w:val="en-US" w:eastAsia="zh-CN"/>
              </w:rPr>
            </w:pPr>
            <w:r>
              <w:rPr>
                <w:rFonts w:hint="eastAsia" w:ascii="仿宋" w:hAnsi="仿宋" w:eastAsia="仿宋" w:cs="仿宋"/>
                <w:lang w:val="en-US" w:eastAsia="zh-CN"/>
              </w:rPr>
              <w:t>10</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default" w:ascii="仿宋" w:hAnsi="仿宋" w:eastAsia="仿宋" w:cs="仿宋"/>
                <w:lang w:val="en-US" w:eastAsia="zh-CN"/>
              </w:rPr>
            </w:pPr>
            <w:r>
              <w:rPr>
                <w:rFonts w:hint="eastAsia" w:ascii="仿宋" w:hAnsi="仿宋" w:eastAsia="仿宋" w:cs="仿宋"/>
                <w:lang w:val="en-US" w:eastAsia="zh-CN"/>
              </w:rPr>
              <w:t>11</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default" w:ascii="仿宋" w:hAnsi="仿宋" w:eastAsia="仿宋" w:cs="仿宋"/>
                <w:lang w:val="en-US" w:eastAsia="zh-CN"/>
              </w:rPr>
            </w:pPr>
            <w:r>
              <w:rPr>
                <w:rFonts w:hint="eastAsia" w:ascii="仿宋" w:hAnsi="仿宋" w:eastAsia="仿宋" w:cs="仿宋"/>
                <w:lang w:val="en-US" w:eastAsia="zh-CN"/>
              </w:rPr>
              <w:t>12</w:t>
            </w:r>
          </w:p>
        </w:tc>
      </w:tr>
      <w:tr>
        <w:tblPrEx>
          <w:tblCellMar>
            <w:top w:w="0" w:type="dxa"/>
            <w:left w:w="108" w:type="dxa"/>
            <w:bottom w:w="0" w:type="dxa"/>
            <w:right w:w="108" w:type="dxa"/>
          </w:tblCellMar>
        </w:tblPrEx>
        <w:trPr>
          <w:trHeight w:val="397" w:hRule="atLeast"/>
          <w:jc w:val="center"/>
        </w:trPr>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3.27</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0.68</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0.68</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2.59</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3.27</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0.68</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0.68</w:t>
            </w:r>
          </w:p>
        </w:tc>
        <w:tc>
          <w:tcPr>
            <w:tcW w:w="12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2.59</w:t>
            </w:r>
          </w:p>
        </w:tc>
      </w:tr>
    </w:tbl>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1"/>
          <w:szCs w:val="21"/>
        </w:rPr>
      </w:pPr>
      <w:r>
        <w:rPr>
          <w:rFonts w:hint="eastAsia" w:ascii="仿宋" w:hAnsi="仿宋" w:eastAsia="仿宋" w:cs="仿宋"/>
          <w:kern w:val="0"/>
          <w:sz w:val="21"/>
          <w:szCs w:val="21"/>
        </w:rPr>
        <w:t>注：本表反映部门本年度“三公”经费支出预决算情况。其中，预算数为“三公”经费全年预算数，反映按规定程序调整后的预算数；决算数是包括当年一般公共预算财政拨款和以前年度结转资金安排的实际支出。</w:t>
      </w:r>
    </w:p>
    <w:p>
      <w:pPr>
        <w:widowControl/>
        <w:jc w:val="left"/>
        <w:rPr>
          <w:rFonts w:hint="eastAsia" w:ascii="仿宋" w:hAnsi="仿宋" w:eastAsia="仿宋" w:cs="仿宋"/>
          <w:kern w:val="0"/>
          <w:szCs w:val="21"/>
        </w:rPr>
        <w:sectPr>
          <w:pgSz w:w="16838" w:h="11906" w:orient="landscape"/>
          <w:pgMar w:top="1803" w:right="1440" w:bottom="1803" w:left="1440" w:header="851" w:footer="992" w:gutter="0"/>
          <w:pgNumType w:fmt="numberInDash"/>
          <w:cols w:space="0" w:num="1"/>
          <w:rtlGutter w:val="0"/>
          <w:docGrid w:type="lines" w:linePitch="319" w:charSpace="0"/>
        </w:sectPr>
      </w:pPr>
    </w:p>
    <w:tbl>
      <w:tblPr>
        <w:tblStyle w:val="7"/>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63"/>
        <w:gridCol w:w="4063"/>
        <w:gridCol w:w="1765"/>
        <w:gridCol w:w="1680"/>
        <w:gridCol w:w="1470"/>
        <w:gridCol w:w="1320"/>
        <w:gridCol w:w="1240"/>
        <w:gridCol w:w="133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4440" w:type="dxa"/>
            <w:gridSpan w:val="8"/>
            <w:tcBorders>
              <w:top w:val="nil"/>
              <w:left w:val="nil"/>
              <w:bottom w:val="nil"/>
              <w:right w:val="nil"/>
            </w:tcBorders>
            <w:shd w:val="clear" w:color="auto" w:fill="auto"/>
            <w:vAlign w:val="center"/>
          </w:tcPr>
          <w:p>
            <w:pPr>
              <w:widowControl/>
              <w:jc w:val="center"/>
              <w:rPr>
                <w:rFonts w:hint="eastAsia" w:ascii="仿宋" w:hAnsi="仿宋" w:eastAsia="仿宋" w:cs="仿宋"/>
                <w:b/>
                <w:kern w:val="0"/>
                <w:szCs w:val="21"/>
              </w:rPr>
            </w:pPr>
            <w:r>
              <w:rPr>
                <w:rFonts w:hint="eastAsia" w:ascii="仿宋" w:hAnsi="仿宋" w:eastAsia="仿宋" w:cs="仿宋"/>
                <w:b/>
                <w:bCs/>
                <w:kern w:val="0"/>
                <w:sz w:val="36"/>
                <w:szCs w:val="36"/>
              </w:rPr>
              <w:t>政府性基金预算财政拨款收入支出决算表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4440" w:type="dxa"/>
            <w:gridSpan w:val="8"/>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kern w:val="0"/>
                <w:szCs w:val="21"/>
              </w:rPr>
            </w:pPr>
            <w:r>
              <w:rPr>
                <w:rFonts w:hint="eastAsia" w:ascii="仿宋" w:hAnsi="仿宋" w:eastAsia="仿宋" w:cs="仿宋"/>
                <w:color w:val="000000"/>
                <w:kern w:val="0"/>
                <w:szCs w:val="21"/>
              </w:rPr>
              <w:t>公开08表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1" w:hRule="atLeast"/>
          <w:jc w:val="center"/>
        </w:trPr>
        <w:tc>
          <w:tcPr>
            <w:tcW w:w="13101" w:type="dxa"/>
            <w:gridSpan w:val="7"/>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kern w:val="0"/>
                <w:szCs w:val="21"/>
              </w:rPr>
            </w:pPr>
            <w:r>
              <w:rPr>
                <w:rFonts w:hint="eastAsia" w:ascii="仿宋" w:hAnsi="仿宋" w:eastAsia="仿宋" w:cs="仿宋"/>
                <w:color w:val="000000"/>
                <w:kern w:val="0"/>
                <w:szCs w:val="21"/>
                <w:lang w:eastAsia="zh-CN"/>
              </w:rPr>
              <w:t>部门</w:t>
            </w:r>
            <w:r>
              <w:rPr>
                <w:rFonts w:hint="eastAsia" w:ascii="仿宋" w:hAnsi="仿宋" w:eastAsia="仿宋" w:cs="仿宋"/>
                <w:color w:val="000000"/>
                <w:kern w:val="0"/>
                <w:szCs w:val="21"/>
              </w:rPr>
              <w:t>：</w:t>
            </w:r>
            <w:r>
              <w:rPr>
                <w:rFonts w:ascii="仿宋" w:hAnsi="仿宋" w:eastAsia="仿宋" w:cs="仿宋"/>
                <w:color w:val="000000"/>
              </w:rPr>
              <w:t>衡阳幼儿师范高等专科学校</w:t>
            </w:r>
          </w:p>
        </w:tc>
        <w:tc>
          <w:tcPr>
            <w:tcW w:w="1339" w:type="dxa"/>
            <w:tcBorders>
              <w:top w:val="nil"/>
              <w:left w:val="nil"/>
              <w:bottom w:val="single" w:color="auto" w:sz="4" w:space="0"/>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b/>
                <w:kern w:val="0"/>
                <w:szCs w:val="21"/>
              </w:rPr>
            </w:pPr>
            <w:r>
              <w:rPr>
                <w:rFonts w:hint="eastAsia" w:ascii="仿宋" w:hAnsi="仿宋" w:eastAsia="仿宋" w:cs="仿宋"/>
                <w:color w:val="000000"/>
                <w:kern w:val="0"/>
                <w:szCs w:val="21"/>
              </w:rPr>
              <w:t>单位：万元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56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    目</w:t>
            </w:r>
          </w:p>
        </w:tc>
        <w:tc>
          <w:tcPr>
            <w:tcW w:w="17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年初结转和结余</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本年收入</w:t>
            </w:r>
          </w:p>
        </w:tc>
        <w:tc>
          <w:tcPr>
            <w:tcW w:w="40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本年支出</w:t>
            </w:r>
          </w:p>
        </w:tc>
        <w:tc>
          <w:tcPr>
            <w:tcW w:w="13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年末结转</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功能分类</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科目编码</w:t>
            </w:r>
          </w:p>
        </w:tc>
        <w:tc>
          <w:tcPr>
            <w:tcW w:w="406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科目名称</w:t>
            </w:r>
          </w:p>
        </w:tc>
        <w:tc>
          <w:tcPr>
            <w:tcW w:w="17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p>
        </w:tc>
        <w:tc>
          <w:tcPr>
            <w:tcW w:w="14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小计</w:t>
            </w:r>
          </w:p>
        </w:tc>
        <w:tc>
          <w:tcPr>
            <w:tcW w:w="13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基本支出</w:t>
            </w:r>
          </w:p>
        </w:tc>
        <w:tc>
          <w:tcPr>
            <w:tcW w:w="12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项目支出</w:t>
            </w:r>
          </w:p>
        </w:tc>
        <w:tc>
          <w:tcPr>
            <w:tcW w:w="133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color w:val="000000"/>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40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7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2" w:hRule="atLeast"/>
          <w:jc w:val="center"/>
        </w:trPr>
        <w:tc>
          <w:tcPr>
            <w:tcW w:w="15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40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76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4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2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c>
          <w:tcPr>
            <w:tcW w:w="133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0" w:hRule="atLeast"/>
          <w:jc w:val="center"/>
        </w:trPr>
        <w:tc>
          <w:tcPr>
            <w:tcW w:w="56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栏次</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1</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2</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3</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4</w:t>
            </w:r>
          </w:p>
        </w:tc>
        <w:tc>
          <w:tcPr>
            <w:tcW w:w="12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5</w:t>
            </w:r>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hint="eastAsia" w:ascii="仿宋" w:hAnsi="仿宋" w:eastAsia="仿宋" w:cs="仿宋"/>
                <w:kern w:val="0"/>
                <w:szCs w:val="21"/>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0" w:hRule="atLeast"/>
          <w:jc w:val="center"/>
        </w:trPr>
        <w:tc>
          <w:tcPr>
            <w:tcW w:w="56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Cs w:val="21"/>
              </w:rPr>
            </w:pPr>
            <w:r>
              <w:rPr>
                <w:rFonts w:ascii="仿宋" w:hAnsi="仿宋" w:eastAsia="仿宋" w:cs="仿宋"/>
              </w:rPr>
              <w:t>合计</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kern w:val="0"/>
                <w:szCs w:val="21"/>
              </w:rPr>
              <w:t>1,438.26</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2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kern w:val="0"/>
                <w:szCs w:val="21"/>
              </w:rPr>
              <w:t>1,438.26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212</w:t>
            </w:r>
          </w:p>
        </w:tc>
        <w:tc>
          <w:tcPr>
            <w:tcW w:w="40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城乡社区支出</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1,438.26</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2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1,438.26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21208</w:t>
            </w:r>
          </w:p>
        </w:tc>
        <w:tc>
          <w:tcPr>
            <w:tcW w:w="40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国有土地使用权出让收入安排的支出</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1,438.26</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2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1,438.26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5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 xml:space="preserve">    2120899</w:t>
            </w:r>
          </w:p>
        </w:tc>
        <w:tc>
          <w:tcPr>
            <w:tcW w:w="40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rPr>
              <w:t>其他国有土地使用权出让收入安排的支出</w:t>
            </w:r>
          </w:p>
        </w:tc>
        <w:tc>
          <w:tcPr>
            <w:tcW w:w="17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1,438.26</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2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p>
        </w:tc>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Cs w:val="21"/>
              </w:rPr>
            </w:pPr>
            <w:r>
              <w:rPr>
                <w:rFonts w:hint="eastAsia" w:ascii="仿宋" w:hAnsi="仿宋" w:eastAsia="仿宋" w:cs="仿宋"/>
              </w:rPr>
              <w:t>1,438.26</w:t>
            </w:r>
          </w:p>
        </w:tc>
      </w:tr>
    </w:tbl>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Cs w:val="21"/>
        </w:rPr>
      </w:pPr>
      <w:r>
        <w:rPr>
          <w:rFonts w:hint="eastAsia" w:ascii="仿宋" w:hAnsi="仿宋" w:eastAsia="仿宋" w:cs="仿宋"/>
          <w:kern w:val="0"/>
          <w:szCs w:val="21"/>
        </w:rPr>
        <w:t>注：本表反映部门本年度政府性基金预算财政拨款收入、支出及结转和结余情况</w:t>
      </w:r>
    </w:p>
    <w:p>
      <w:pPr>
        <w:widowControl/>
        <w:jc w:val="left"/>
        <w:rPr>
          <w:rFonts w:ascii="黑体" w:hAnsi="黑体" w:eastAsia="黑体"/>
          <w:szCs w:val="21"/>
        </w:rPr>
      </w:pPr>
      <w:r>
        <w:rPr>
          <w:rFonts w:ascii="黑体" w:hAnsi="黑体" w:eastAsia="黑体"/>
          <w:szCs w:val="21"/>
        </w:rPr>
        <w:br w:type="page"/>
      </w:r>
    </w:p>
    <w:tbl>
      <w:tblPr>
        <w:tblStyle w:val="7"/>
        <w:tblW w:w="14190" w:type="dxa"/>
        <w:tblInd w:w="91" w:type="dxa"/>
        <w:tblLayout w:type="fixed"/>
        <w:tblCellMar>
          <w:top w:w="0" w:type="dxa"/>
          <w:left w:w="108" w:type="dxa"/>
          <w:bottom w:w="0" w:type="dxa"/>
          <w:right w:w="108" w:type="dxa"/>
        </w:tblCellMar>
      </w:tblPr>
      <w:tblGrid>
        <w:gridCol w:w="1535"/>
        <w:gridCol w:w="4780"/>
        <w:gridCol w:w="2660"/>
        <w:gridCol w:w="2540"/>
        <w:gridCol w:w="2675"/>
      </w:tblGrid>
      <w:tr>
        <w:tblPrEx>
          <w:tblCellMar>
            <w:top w:w="0" w:type="dxa"/>
            <w:left w:w="108" w:type="dxa"/>
            <w:bottom w:w="0" w:type="dxa"/>
            <w:right w:w="108" w:type="dxa"/>
          </w:tblCellMar>
        </w:tblPrEx>
        <w:trPr>
          <w:trHeight w:val="720" w:hRule="atLeast"/>
        </w:trPr>
        <w:tc>
          <w:tcPr>
            <w:tcW w:w="14190" w:type="dxa"/>
            <w:gridSpan w:val="5"/>
            <w:tcBorders>
              <w:top w:val="nil"/>
              <w:left w:val="nil"/>
              <w:bottom w:val="nil"/>
              <w:right w:val="nil"/>
            </w:tcBorders>
            <w:shd w:val="clear" w:color="000000" w:fill="FFFFFF"/>
            <w:vAlign w:val="center"/>
          </w:tcPr>
          <w:p>
            <w:pPr>
              <w:widowControl/>
              <w:jc w:val="center"/>
              <w:rPr>
                <w:rFonts w:hint="eastAsia" w:ascii="仿宋" w:hAnsi="仿宋" w:eastAsia="仿宋" w:cs="仿宋"/>
                <w:kern w:val="0"/>
                <w:sz w:val="32"/>
                <w:szCs w:val="32"/>
              </w:rPr>
            </w:pPr>
            <w:r>
              <w:rPr>
                <w:rFonts w:hint="eastAsia" w:ascii="仿宋" w:hAnsi="仿宋" w:eastAsia="仿宋" w:cs="仿宋"/>
                <w:b/>
                <w:bCs/>
                <w:kern w:val="0"/>
                <w:sz w:val="36"/>
                <w:szCs w:val="36"/>
              </w:rPr>
              <w:t>国有资本经营预算财政拨款支出决算表</w:t>
            </w:r>
          </w:p>
        </w:tc>
      </w:tr>
      <w:tr>
        <w:tblPrEx>
          <w:tblCellMar>
            <w:top w:w="0" w:type="dxa"/>
            <w:left w:w="108" w:type="dxa"/>
            <w:bottom w:w="0" w:type="dxa"/>
            <w:right w:w="108" w:type="dxa"/>
          </w:tblCellMar>
        </w:tblPrEx>
        <w:trPr>
          <w:trHeight w:val="285" w:hRule="atLeast"/>
        </w:trPr>
        <w:tc>
          <w:tcPr>
            <w:tcW w:w="14190" w:type="dxa"/>
            <w:gridSpan w:val="5"/>
            <w:tcBorders>
              <w:top w:val="nil"/>
              <w:left w:val="nil"/>
              <w:bottom w:val="nil"/>
              <w:right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公开09表</w:t>
            </w:r>
          </w:p>
        </w:tc>
      </w:tr>
      <w:tr>
        <w:tblPrEx>
          <w:tblCellMar>
            <w:top w:w="0" w:type="dxa"/>
            <w:left w:w="108" w:type="dxa"/>
            <w:bottom w:w="0" w:type="dxa"/>
            <w:right w:w="108" w:type="dxa"/>
          </w:tblCellMar>
        </w:tblPrEx>
        <w:trPr>
          <w:trHeight w:val="285" w:hRule="atLeast"/>
        </w:trPr>
        <w:tc>
          <w:tcPr>
            <w:tcW w:w="6315" w:type="dxa"/>
            <w:gridSpan w:val="2"/>
            <w:tcBorders>
              <w:top w:val="nil"/>
              <w:left w:val="nil"/>
              <w:bottom w:val="single" w:color="auto" w:sz="4" w:space="0"/>
              <w:right w:val="nil"/>
            </w:tcBorders>
            <w:shd w:val="clear" w:color="000000" w:fill="FFFFFF"/>
            <w:noWrap/>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0"/>
                <w:szCs w:val="20"/>
              </w:rPr>
            </w:pP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w:t>
            </w:r>
            <w:r>
              <w:rPr>
                <w:rFonts w:ascii="仿宋" w:hAnsi="仿宋" w:eastAsia="仿宋" w:cs="仿宋"/>
                <w:color w:val="000000"/>
                <w:sz w:val="20"/>
              </w:rPr>
              <w:t>衡阳幼儿师范高等专科学校</w:t>
            </w:r>
          </w:p>
        </w:tc>
        <w:tc>
          <w:tcPr>
            <w:tcW w:w="7875" w:type="dxa"/>
            <w:gridSpan w:val="3"/>
            <w:tcBorders>
              <w:top w:val="nil"/>
              <w:left w:val="nil"/>
              <w:bottom w:val="single" w:color="auto" w:sz="4" w:space="0"/>
              <w:right w:val="nil"/>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63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项 </w:t>
            </w:r>
            <w:r>
              <w:rPr>
                <w:rFonts w:hint="eastAsia" w:ascii="仿宋" w:hAnsi="仿宋" w:eastAsia="仿宋" w:cs="仿宋"/>
                <w:color w:val="000000"/>
                <w:kern w:val="0"/>
                <w:sz w:val="22"/>
              </w:rPr>
              <w:t xml:space="preserve">   </w:t>
            </w:r>
            <w:r>
              <w:rPr>
                <w:rFonts w:hint="eastAsia" w:ascii="仿宋" w:hAnsi="仿宋" w:eastAsia="仿宋" w:cs="仿宋"/>
                <w:kern w:val="0"/>
                <w:sz w:val="24"/>
                <w:szCs w:val="24"/>
              </w:rPr>
              <w:t>目</w:t>
            </w:r>
          </w:p>
        </w:tc>
        <w:tc>
          <w:tcPr>
            <w:tcW w:w="787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本年支出</w:t>
            </w:r>
          </w:p>
        </w:tc>
      </w:tr>
      <w:tr>
        <w:tblPrEx>
          <w:tblCellMar>
            <w:top w:w="0" w:type="dxa"/>
            <w:left w:w="108" w:type="dxa"/>
            <w:bottom w:w="0" w:type="dxa"/>
            <w:right w:w="108" w:type="dxa"/>
          </w:tblCellMar>
        </w:tblPrEx>
        <w:trPr>
          <w:trHeight w:val="402" w:hRule="atLeast"/>
        </w:trPr>
        <w:tc>
          <w:tcPr>
            <w:tcW w:w="15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功能分类</w:t>
            </w:r>
          </w:p>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科目编码</w:t>
            </w:r>
          </w:p>
        </w:tc>
        <w:tc>
          <w:tcPr>
            <w:tcW w:w="47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科目名称</w:t>
            </w:r>
          </w:p>
        </w:tc>
        <w:tc>
          <w:tcPr>
            <w:tcW w:w="26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2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 xml:space="preserve">基本支出  </w:t>
            </w:r>
          </w:p>
        </w:tc>
        <w:tc>
          <w:tcPr>
            <w:tcW w:w="26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项目支出</w:t>
            </w:r>
          </w:p>
        </w:tc>
      </w:tr>
      <w:tr>
        <w:tblPrEx>
          <w:tblCellMar>
            <w:top w:w="0" w:type="dxa"/>
            <w:left w:w="108" w:type="dxa"/>
            <w:bottom w:w="0" w:type="dxa"/>
            <w:right w:w="108" w:type="dxa"/>
          </w:tblCellMar>
        </w:tblPrEx>
        <w:trPr>
          <w:trHeight w:val="402" w:hRule="atLeast"/>
        </w:trPr>
        <w:tc>
          <w:tcPr>
            <w:tcW w:w="153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47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66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5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67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312" w:hRule="atLeast"/>
        </w:trPr>
        <w:tc>
          <w:tcPr>
            <w:tcW w:w="153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478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66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54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c>
          <w:tcPr>
            <w:tcW w:w="267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402" w:hRule="atLeast"/>
        </w:trPr>
        <w:tc>
          <w:tcPr>
            <w:tcW w:w="63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栏次</w:t>
            </w:r>
          </w:p>
        </w:tc>
        <w:tc>
          <w:tcPr>
            <w:tcW w:w="26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2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26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3</w:t>
            </w:r>
          </w:p>
        </w:tc>
      </w:tr>
      <w:tr>
        <w:tblPrEx>
          <w:tblCellMar>
            <w:top w:w="0" w:type="dxa"/>
            <w:left w:w="108" w:type="dxa"/>
            <w:bottom w:w="0" w:type="dxa"/>
            <w:right w:w="108" w:type="dxa"/>
          </w:tblCellMar>
        </w:tblPrEx>
        <w:trPr>
          <w:trHeight w:val="148" w:hRule="atLeast"/>
        </w:trPr>
        <w:tc>
          <w:tcPr>
            <w:tcW w:w="63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26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2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c>
          <w:tcPr>
            <w:tcW w:w="26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kern w:val="0"/>
                <w:sz w:val="24"/>
                <w:szCs w:val="24"/>
              </w:rPr>
            </w:pPr>
          </w:p>
        </w:tc>
      </w:tr>
      <w:tr>
        <w:tblPrEx>
          <w:tblCellMar>
            <w:top w:w="0" w:type="dxa"/>
            <w:left w:w="108" w:type="dxa"/>
            <w:bottom w:w="0" w:type="dxa"/>
            <w:right w:w="108" w:type="dxa"/>
          </w:tblCellMar>
        </w:tblPrEx>
        <w:trPr>
          <w:trHeight w:val="309" w:hRule="atLeast"/>
        </w:trPr>
        <w:tc>
          <w:tcPr>
            <w:tcW w:w="14190" w:type="dxa"/>
            <w:gridSpan w:val="5"/>
            <w:tcBorders>
              <w:top w:val="single" w:color="auto" w:sz="4" w:space="0"/>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1"/>
                <w:szCs w:val="21"/>
              </w:rPr>
            </w:pPr>
            <w:r>
              <w:rPr>
                <w:rFonts w:hint="eastAsia" w:ascii="仿宋" w:hAnsi="仿宋" w:eastAsia="仿宋" w:cs="仿宋"/>
                <w:kern w:val="0"/>
                <w:sz w:val="21"/>
                <w:szCs w:val="21"/>
              </w:rPr>
              <w:t>注：本表反映部门本年度国有资本经营预算财政拨款支出情况。</w:t>
            </w:r>
          </w:p>
          <w:p>
            <w:pPr>
              <w:keepNext w:val="0"/>
              <w:keepLines w:val="0"/>
              <w:pageBreakBefore w:val="0"/>
              <w:widowControl/>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kern w:val="0"/>
                <w:sz w:val="24"/>
                <w:szCs w:val="24"/>
              </w:rPr>
            </w:pPr>
            <w:r>
              <w:rPr>
                <w:rFonts w:ascii="仿宋" w:hAnsi="仿宋" w:eastAsia="仿宋" w:cs="仿宋"/>
              </w:rPr>
              <w:t>衡阳幼儿师范高等专科学校</w:t>
            </w:r>
            <w:r>
              <w:rPr>
                <w:rFonts w:hint="eastAsia" w:ascii="仿宋" w:hAnsi="仿宋" w:eastAsia="仿宋" w:cs="仿宋"/>
                <w:kern w:val="0"/>
                <w:sz w:val="21"/>
                <w:szCs w:val="21"/>
                <w:lang w:val="en-US" w:eastAsia="zh-CN"/>
              </w:rPr>
              <w:t>没有</w:t>
            </w:r>
            <w:r>
              <w:rPr>
                <w:rFonts w:hint="eastAsia" w:ascii="仿宋" w:hAnsi="仿宋" w:eastAsia="仿宋" w:cs="仿宋"/>
                <w:kern w:val="0"/>
                <w:sz w:val="21"/>
                <w:szCs w:val="21"/>
              </w:rPr>
              <w:t>国有资本经营预算财政拨款支出，故本表无数据。</w:t>
            </w:r>
          </w:p>
        </w:tc>
      </w:tr>
    </w:tbl>
    <w:p>
      <w:pPr>
        <w:pStyle w:val="10"/>
        <w:rPr>
          <w:sz w:val="72"/>
          <w:szCs w:val="72"/>
        </w:rPr>
        <w:sectPr>
          <w:pgSz w:w="16838" w:h="11906" w:orient="landscape"/>
          <w:pgMar w:top="1803" w:right="1440" w:bottom="1803" w:left="1440" w:header="851" w:footer="992" w:gutter="0"/>
          <w:pgNumType w:fmt="numberInDash"/>
          <w:cols w:space="0" w:num="1"/>
          <w:rtlGutter w:val="0"/>
          <w:docGrid w:type="lines" w:linePitch="319" w:charSpace="0"/>
        </w:sectPr>
      </w:pP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hint="eastAsia" w:ascii="仿宋" w:hAnsi="仿宋" w:eastAsia="仿宋" w:cs="仿宋"/>
          <w:b/>
          <w:bCs/>
          <w:sz w:val="72"/>
          <w:szCs w:val="72"/>
        </w:rPr>
      </w:pPr>
    </w:p>
    <w:p>
      <w:pPr>
        <w:pStyle w:val="10"/>
        <w:jc w:val="center"/>
        <w:rPr>
          <w:rFonts w:hint="eastAsia" w:ascii="仿宋" w:hAnsi="仿宋" w:eastAsia="仿宋" w:cs="仿宋"/>
          <w:b/>
          <w:bCs/>
          <w:sz w:val="52"/>
          <w:szCs w:val="52"/>
        </w:rPr>
      </w:pPr>
      <w:r>
        <w:rPr>
          <w:rFonts w:hint="eastAsia" w:ascii="仿宋" w:hAnsi="仿宋" w:eastAsia="仿宋" w:cs="仿宋"/>
          <w:b/>
          <w:bCs/>
          <w:sz w:val="52"/>
          <w:szCs w:val="52"/>
        </w:rPr>
        <w:t>第三部分</w:t>
      </w:r>
    </w:p>
    <w:p>
      <w:pPr>
        <w:pStyle w:val="10"/>
        <w:jc w:val="center"/>
        <w:rPr>
          <w:rFonts w:hint="eastAsia" w:ascii="仿宋" w:hAnsi="仿宋" w:eastAsia="仿宋" w:cs="仿宋"/>
          <w:b/>
          <w:bCs/>
          <w:sz w:val="52"/>
          <w:szCs w:val="52"/>
        </w:rPr>
      </w:pPr>
    </w:p>
    <w:p>
      <w:pPr>
        <w:pStyle w:val="10"/>
        <w:jc w:val="center"/>
        <w:rPr>
          <w:rFonts w:hint="eastAsia" w:ascii="仿宋" w:hAnsi="仿宋" w:eastAsia="仿宋" w:cs="仿宋"/>
          <w:b/>
          <w:bCs/>
          <w:sz w:val="52"/>
          <w:szCs w:val="52"/>
        </w:rPr>
      </w:pPr>
      <w:r>
        <w:rPr>
          <w:rFonts w:hint="eastAsia" w:ascii="仿宋" w:hAnsi="仿宋" w:eastAsia="仿宋" w:cs="仿宋"/>
          <w:b/>
          <w:bCs/>
          <w:sz w:val="52"/>
          <w:szCs w:val="52"/>
        </w:rPr>
        <w:t>2020年度</w:t>
      </w:r>
      <w:r>
        <w:rPr>
          <w:rFonts w:hint="eastAsia" w:ascii="仿宋" w:hAnsi="仿宋" w:eastAsia="仿宋" w:cs="仿宋"/>
          <w:b/>
          <w:bCs/>
          <w:sz w:val="52"/>
          <w:szCs w:val="52"/>
          <w:lang w:eastAsia="zh-CN"/>
        </w:rPr>
        <w:t>部门</w:t>
      </w:r>
      <w:r>
        <w:rPr>
          <w:rFonts w:hint="eastAsia" w:ascii="仿宋" w:hAnsi="仿宋" w:eastAsia="仿宋" w:cs="仿宋"/>
          <w:b/>
          <w:bCs/>
          <w:sz w:val="52"/>
          <w:szCs w:val="52"/>
        </w:rPr>
        <w:t>决算情况说明</w:t>
      </w:r>
    </w:p>
    <w:p>
      <w:pPr>
        <w:widowControl/>
        <w:jc w:val="left"/>
        <w:rPr>
          <w:rFonts w:ascii="黑体" w:eastAsia="黑体" w:cs="黑体"/>
          <w:color w:val="000000"/>
          <w:kern w:val="0"/>
          <w:sz w:val="70"/>
          <w:szCs w:val="70"/>
        </w:rPr>
      </w:pPr>
      <w:r>
        <w:rPr>
          <w:sz w:val="70"/>
          <w:szCs w:val="70"/>
        </w:rPr>
        <w:br w:type="page"/>
      </w:r>
    </w:p>
    <w:p>
      <w:pPr>
        <w:pStyle w:val="10"/>
        <w:rPr>
          <w:rFonts w:asciiTheme="minorEastAsia" w:hAnsiTheme="minorEastAsia" w:eastAsiaTheme="minorEastAsia"/>
          <w:sz w:val="32"/>
          <w:szCs w:val="32"/>
        </w:rPr>
      </w:pP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2020年度收入、支出总计26,921.37万元，与上年相比减少6,326.05万元，减少19.03%。主要是因为2019年筹建衡阳幼高专，财政投入专项经费21592万元，2020年幼高专主要建设资金由地方债券资金承担。</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本年收入合计11,186.74万元，其中：财政拨款收入8,513.98万元，占76.11%；上级补助收入0万元，占0%；事业收入2,514.77万元，占22.48%；经营收入0万元，占0%；附属单位上缴收入0万元，占0%；其他收入158万元，占1.41%。</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8"/>
                    <a:stretch>
                      <a:fillRect/>
                    </a:stretch>
                  </pic:blipFill>
                  <pic:spPr>
                    <a:xfrm>
                      <a:off x="0" y="0"/>
                      <a:ext cx="6134100" cy="3429000"/>
                    </a:xfrm>
                    <a:prstGeom prst="rect">
                      <a:avLst/>
                    </a:prstGeom>
                  </pic:spPr>
                </pic:pic>
              </a:graphicData>
            </a:graphic>
          </wp:inline>
        </w:drawing>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本年支出合计16,934.21万元，其中：基本支出8,839.98万元，占52.2%；项目支出8,094.23万元，占47.8%；上缴上级支出0万元，占0%；经营支出0万元，占0%；对附属单位补助支出0万元，占0%。</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0" b="0"/>
            <wp:docPr id="4" name="Drawing 4"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descr="Generated"/>
                    <pic:cNvPicPr>
                      <a:picLocks noChangeAspect="1"/>
                    </pic:cNvPicPr>
                  </pic:nvPicPr>
                  <pic:blipFill>
                    <a:blip r:embed="rId9"/>
                    <a:stretch>
                      <a:fillRect/>
                    </a:stretch>
                  </pic:blipFill>
                  <pic:spPr>
                    <a:xfrm>
                      <a:off x="0" y="0"/>
                      <a:ext cx="6134100" cy="3429000"/>
                    </a:xfrm>
                    <a:prstGeom prst="rect">
                      <a:avLst/>
                    </a:prstGeom>
                  </pic:spPr>
                </pic:pic>
              </a:graphicData>
            </a:graphic>
          </wp:inline>
        </w:drawing>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2020年度财政拨款收、支总计23,369.06万元，与上年相比，减少7,119.03万元，减少23.35%。主要是因为2019年筹建衡阳幼高专，财政投入专项经费21592万元，2020年幼高专主要建设资金由地方债券资金承担。</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五、一般公共预算财政拨款支出决算情况说明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（一）财政拨款支出决算总体情况</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2020年度财政拨款支出13,566.18万元，占本年支出合计的80.11%，与上年相比，财政拨款支出增加4,516.83万元，增长49.91%。主要是因为2020年衡阳师范学校成功升格为衡阳幼儿师范高等专科学校，由原衡阳师范学校、原耒阳师范学校、原衡阳艺术学校三校合并组建。</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（二）财政拨款支出决算结构情况</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2020年度财政拨款支出13,566.18万元，主要用于以下方面：教育支出（类）13,546.05万元，占99.85%；社会保障和就业支出（类）20.13万元，占0.15%。</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（三）财政拨款支出决算具体情况</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2020年度财政拨款支出年初预算数为13,566.18万元，支出决算数为13,566.18万元，完成年初预算的100%，其中：</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1、教育支出（类）普通教育（款）学前教育（项）。</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年初预算为210.1万元，支出决算为210.1万元，完成年初预算的100%。</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2、教育支出（类）职业教育（款）中等职业教育（项）。</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年初预算为11,111.09万元，支出决算为11,111.09万元，完成年初预算的100%。</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3、教育支出（类）教育费附加安排的支出（款）其他教育费附加安排的支出（项）。</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年初预算为492.71万元，支出决算为492.71万元，完成年初预算的100%。</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4、教育支出（类）其他教育支出（款）其他教育支出（项）。</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年初预算为1,732.15万元，支出决算为1,732.15万元，完成年初预算的100%。</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5、社会保障和就业支出（类）行政事业单位养老支出（款）机关事业单位职业年金缴费支出（项）。</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年初预算为20.13万元，支出决算为20.13万元，完成年初预算的100%。</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val="en-US"/>
        </w:rPr>
      </w:pPr>
      <w:r>
        <w:rPr>
          <w:rFonts w:ascii="仿宋" w:hAnsi="仿宋" w:eastAsia="仿宋" w:cs="仿宋"/>
        </w:rPr>
        <w:t>2020年度财政拨款基本支出7,874.57万元（金额转换为万元时，因四舍五入存在尾差），其中：人员经费6,986.39万元，占基本支出的88.72%，主要包括：基本工资、津贴补贴、奖金、伙食补助费、绩效工资、机关事业单位基本养老保险缴费、职业年金缴费、职工基本医疗保险缴费、公务员医疗补助缴费、其他社会保障缴费、住房公积金、医疗费、其他工资福利支出、抚恤金、生活补助、医疗费补助、助学金、奖励金、其他对个人和家庭的补助；公用经费888.18万元，占基本支出的11.28%，主要包括：办公费、印刷费、咨询费、手续费、水费、电费、邮电费、物业管理费、差旅费、维修（护）费、租赁费、会议费、培训费、公务接待费、专用材料费、专用燃料费、劳务费、工会经费、公务用车运行维护费、其他交通费用、其他商品和服务支出。</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七、一般公共预算财政拨款三公经费支出决算情况说明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（一）“三公”经费财政拨款支出决算总体情况说明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“三公”经费财政拨款支出预算为3.27万元，支出决算为3.27万元，完成预算的100%，其中：因公出国（境）费支出预算为0万元，支出决算为0万元，与本年预算数相同，与上年决算数相同。</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公务接待费支出预算为2.59万元，支出决算为2.59万元，与本年预算数相同，与上年相比增加0.84万元，增长48%，增长的主要原因是2020年我校由原衡阳师范学校、原耒阳师范学校、原衡阳艺术附属中专三校合并升格为衡阳幼儿师范高等专科学校，职工人数、业务范围大幅提升。</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公务用车购置费及运行维护费支出预算为0.68万元，支出决算为0.68万元，与本年预算数相同，与上年相比减少2.81万元，减少80.52%，减少的主要原因是2020年我校执行公车改革管理办法，处置了公务用车，仅保留一辆演出用小客车。</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（二）“三公”经费财政拨款支出决算具体情况说明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2020年度“三公”经费财政拨款支出决算中，公务接待费支出决算2.59万元，占79.2%，因公出国（境）费支出决算0万元，占0%，公务用车购置费及运行维护费支出决算0.68万元，占20.8%。其中：</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1、因公出国（境）费支出决算为0万元，全年安排因公出国（境）团组0个，累计0人次。</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2、公务接待费支出决算为2.59万元，全年共接待来访团组33个，来宾220人次，主要是同类型学校来校学习交流办学经验等。</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用车购置费及运行维护费支出决算为0.68万元，其中：公务用车购置费0万元。公务用车运行维护费0.68万元，主要是公务用车处置前的一此相关费用支出，截止2020年12月31日，我单位开支财政拨款的公务用车保有量为0辆。</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八、政府性基金预算收入支出决算情况</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本单位无政府性基金收支。</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九、关于机关运行经费支出说明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本部门2020年度机关运行经费支出0万元（与部门决算中行政单位和参照公务员法管理事业单位一般公共预算财政拨款基本支出中公用经费之和一致），与年初预算数相同。</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十、一般性支出情况</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lang w:eastAsia="zh-CN"/>
        </w:rPr>
      </w:pPr>
      <w:r>
        <w:rPr>
          <w:rFonts w:ascii="仿宋" w:hAnsi="仿宋" w:eastAsia="仿宋" w:cs="仿宋"/>
        </w:rPr>
        <w:t>2020年本部门开支会议费0.15万元，用于召开幼高专第一次全体中层干部工作会议，人数76人，内容为购会议需办公用品；开支培训费84.23万元，用于开展教师各类培训，人数350人，内容为教师国培、省培、学术交流和对全市幼儿园园长能力提升培训；举办教师节、元旦晚会、国省市级文明风采及技能竞赛等节庆、晚会、论坛、赛事活动，开支58.28万元，主要是国</w:t>
      </w:r>
      <w:r>
        <w:rPr>
          <w:rFonts w:hint="eastAsia" w:ascii="仿宋" w:hAnsi="仿宋" w:eastAsia="仿宋" w:cs="仿宋"/>
          <w:lang w:eastAsia="zh-CN"/>
        </w:rPr>
        <w:t>、</w:t>
      </w:r>
      <w:r>
        <w:rPr>
          <w:rFonts w:ascii="仿宋" w:hAnsi="仿宋" w:eastAsia="仿宋" w:cs="仿宋"/>
        </w:rPr>
        <w:t>省</w:t>
      </w:r>
      <w:r>
        <w:rPr>
          <w:rFonts w:hint="eastAsia" w:ascii="仿宋" w:hAnsi="仿宋" w:eastAsia="仿宋" w:cs="仿宋"/>
          <w:lang w:eastAsia="zh-CN"/>
        </w:rPr>
        <w:t>、</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市级文明风采大赛，教师教学能力大赛、教师技能竞赛等。</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十一、关于政府采购支出说明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部门2020年度政府采购支出总额5,277.98万元，其中：政府采购货物支出707.16万元、政府采购工程支出4,237.46万元、政府采购服务支出333.36万元。授予中小企业合同金额4,750.18万元，占政府采购支出总额的90%，其中：授予小微企业合同金额527.8万元，占政府采购支出总额的10%。（政府采购金额的计算口径为：本部门纳入2020年度部门预算范围的各项政府采购支出金额之和，不包括涉密采购项目的支出金额）</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十二、国有资产占用情况说明</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截至2020年12月31日，本单位共有车辆1辆，其中，主要领导干部用车0辆、机要通信用车0辆、应急保障用车0辆、执法执勤用车0辆、特种专业技术用车0辆、其他用车1辆，其他用车主要是学生演出用车;单位价值50万元以上通用设备0台（套），单位价值100万元以上专用设备0台（套）。</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十三、预算绩效评价工作开展情况</w:t>
      </w:r>
    </w:p>
    <w:p>
      <w:pPr>
        <w:pStyle w:val="3"/>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2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本部门预算绩效管理开展情况、绩效目标和绩效评价报告等见附件。</w:t>
      </w:r>
    </w:p>
    <w:p>
      <w:pPr>
        <w:pStyle w:val="10"/>
        <w:tabs>
          <w:tab w:val="left" w:pos="5967"/>
        </w:tabs>
        <w:jc w:val="left"/>
        <w:rPr>
          <w:rFonts w:hint="eastAsia" w:eastAsia="黑体"/>
          <w:sz w:val="72"/>
          <w:szCs w:val="72"/>
          <w:lang w:eastAsia="zh-CN"/>
        </w:rPr>
        <w:sectPr>
          <w:footerReference r:id="rId6" w:type="default"/>
          <w:pgSz w:w="11906" w:h="16838"/>
          <w:pgMar w:top="720" w:right="720" w:bottom="720" w:left="720" w:header="851" w:footer="992" w:gutter="0"/>
          <w:pgNumType w:fmt="numberInDash"/>
          <w:cols w:space="0" w:num="1"/>
          <w:rtlGutter w:val="0"/>
          <w:docGrid w:type="lines" w:linePitch="319" w:charSpace="0"/>
        </w:sectPr>
      </w:pPr>
    </w:p>
    <w:p>
      <w:pPr>
        <w:pStyle w:val="10"/>
        <w:jc w:val="both"/>
        <w:rPr>
          <w:sz w:val="72"/>
          <w:szCs w:val="72"/>
        </w:rPr>
      </w:pPr>
    </w:p>
    <w:p>
      <w:pPr>
        <w:pStyle w:val="10"/>
        <w:jc w:val="both"/>
        <w:rPr>
          <w:sz w:val="72"/>
          <w:szCs w:val="72"/>
        </w:rPr>
      </w:pPr>
    </w:p>
    <w:p>
      <w:pPr>
        <w:pStyle w:val="10"/>
        <w:jc w:val="center"/>
        <w:rPr>
          <w:rFonts w:hint="eastAsia" w:ascii="仿宋" w:hAnsi="仿宋" w:eastAsia="仿宋" w:cs="仿宋"/>
          <w:b/>
          <w:bCs/>
          <w:sz w:val="72"/>
          <w:szCs w:val="72"/>
        </w:rPr>
      </w:pPr>
    </w:p>
    <w:p>
      <w:pPr>
        <w:pStyle w:val="10"/>
        <w:jc w:val="center"/>
        <w:rPr>
          <w:rFonts w:hint="eastAsia" w:ascii="仿宋" w:hAnsi="仿宋" w:eastAsia="仿宋" w:cs="仿宋"/>
          <w:b/>
          <w:bCs/>
          <w:sz w:val="72"/>
          <w:szCs w:val="72"/>
        </w:rPr>
      </w:pPr>
    </w:p>
    <w:p>
      <w:pPr>
        <w:pStyle w:val="10"/>
        <w:jc w:val="center"/>
        <w:rPr>
          <w:rFonts w:hint="eastAsia" w:ascii="仿宋" w:hAnsi="仿宋" w:eastAsia="仿宋" w:cs="仿宋"/>
          <w:b/>
          <w:bCs/>
          <w:sz w:val="52"/>
          <w:szCs w:val="52"/>
        </w:rPr>
      </w:pPr>
      <w:r>
        <w:rPr>
          <w:rFonts w:hint="eastAsia" w:ascii="仿宋" w:hAnsi="仿宋" w:eastAsia="仿宋" w:cs="仿宋"/>
          <w:b/>
          <w:bCs/>
          <w:sz w:val="52"/>
          <w:szCs w:val="52"/>
        </w:rPr>
        <w:t>第四部分</w:t>
      </w:r>
    </w:p>
    <w:p>
      <w:pPr>
        <w:jc w:val="center"/>
        <w:rPr>
          <w:rFonts w:hint="eastAsia" w:ascii="仿宋" w:hAnsi="仿宋" w:eastAsia="仿宋" w:cs="仿宋"/>
          <w:b/>
          <w:bCs/>
          <w:color w:val="000000"/>
          <w:kern w:val="0"/>
          <w:sz w:val="52"/>
          <w:szCs w:val="52"/>
        </w:rPr>
      </w:pPr>
    </w:p>
    <w:p>
      <w:pPr>
        <w:jc w:val="center"/>
        <w:rPr>
          <w:rFonts w:hint="eastAsia" w:ascii="仿宋" w:hAnsi="仿宋" w:eastAsia="仿宋" w:cs="仿宋"/>
          <w:b/>
          <w:bCs/>
          <w:color w:val="000000"/>
          <w:kern w:val="0"/>
          <w:sz w:val="52"/>
          <w:szCs w:val="52"/>
        </w:rPr>
      </w:pPr>
      <w:r>
        <w:rPr>
          <w:rFonts w:hint="eastAsia" w:ascii="仿宋" w:hAnsi="仿宋" w:eastAsia="仿宋" w:cs="仿宋"/>
          <w:b/>
          <w:bCs/>
          <w:color w:val="000000"/>
          <w:kern w:val="0"/>
          <w:sz w:val="52"/>
          <w:szCs w:val="52"/>
        </w:rPr>
        <w:t>名词解释</w:t>
      </w:r>
    </w:p>
    <w:p>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pPr>
        <w:ind w:firstLine="640" w:firstLineChars="200"/>
        <w:jc w:val="left"/>
        <w:rPr>
          <w:rFonts w:cs="黑体" w:asciiTheme="minorEastAsia" w:hAnsiTheme="minorEastAsia"/>
          <w:color w:val="000000"/>
          <w:kern w:val="0"/>
          <w:sz w:val="32"/>
          <w:szCs w:val="32"/>
        </w:rPr>
      </w:pP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一、财政拨款收入</w:t>
      </w:r>
      <w:r>
        <w:rPr>
          <w:rFonts w:ascii="仿宋" w:hAnsi="仿宋" w:eastAsia="仿宋" w:cs="仿宋"/>
          <w:b/>
          <w:color w:val="000000"/>
          <w:sz w:val="32"/>
        </w:rPr>
        <w:t>：</w:t>
      </w:r>
      <w:r>
        <w:rPr>
          <w:rFonts w:hint="eastAsia" w:ascii="仿宋" w:hAnsi="仿宋" w:eastAsia="仿宋" w:cs="仿宋"/>
          <w:color w:val="000000"/>
          <w:kern w:val="0"/>
          <w:sz w:val="32"/>
          <w:szCs w:val="32"/>
        </w:rPr>
        <w:t>指单位本年度从同级财政部门取得的各类财政拨款。</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二、上级补助收入</w:t>
      </w:r>
      <w:r>
        <w:rPr>
          <w:rFonts w:ascii="仿宋" w:hAnsi="仿宋" w:eastAsia="仿宋" w:cs="仿宋"/>
          <w:b/>
          <w:color w:val="000000"/>
          <w:sz w:val="32"/>
        </w:rPr>
        <w:t>：</w:t>
      </w:r>
      <w:r>
        <w:rPr>
          <w:rFonts w:hint="eastAsia" w:ascii="仿宋" w:hAnsi="仿宋" w:eastAsia="仿宋" w:cs="仿宋"/>
          <w:color w:val="000000"/>
          <w:kern w:val="0"/>
          <w:sz w:val="32"/>
          <w:szCs w:val="32"/>
        </w:rPr>
        <w:t>指事业单位从主管部门和上级单位取得的非财政补助收入。</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三、事业收入</w:t>
      </w:r>
      <w:r>
        <w:rPr>
          <w:rFonts w:ascii="仿宋" w:hAnsi="仿宋" w:eastAsia="仿宋" w:cs="仿宋"/>
          <w:b/>
          <w:color w:val="000000"/>
          <w:sz w:val="32"/>
        </w:rPr>
        <w:t>：</w:t>
      </w:r>
      <w:r>
        <w:rPr>
          <w:rFonts w:hint="eastAsia" w:ascii="仿宋" w:hAnsi="仿宋" w:eastAsia="仿宋" w:cs="仿宋"/>
          <w:color w:val="000000"/>
          <w:kern w:val="0"/>
          <w:sz w:val="32"/>
          <w:szCs w:val="32"/>
        </w:rPr>
        <w:t>指事业单位开展专业业务活动及其辅助活动取得的收入，事业单位收到的财政专户实际核拨的教育收费等资金在此反映。</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四、经营收入</w:t>
      </w:r>
      <w:r>
        <w:rPr>
          <w:rFonts w:ascii="仿宋" w:hAnsi="仿宋" w:eastAsia="仿宋" w:cs="仿宋"/>
          <w:b/>
          <w:color w:val="000000"/>
          <w:sz w:val="32"/>
        </w:rPr>
        <w:t>：</w:t>
      </w:r>
      <w:r>
        <w:rPr>
          <w:rFonts w:hint="eastAsia" w:ascii="仿宋" w:hAnsi="仿宋" w:eastAsia="仿宋" w:cs="仿宋"/>
          <w:color w:val="000000"/>
          <w:kern w:val="0"/>
          <w:sz w:val="32"/>
          <w:szCs w:val="32"/>
        </w:rPr>
        <w:t>指事业单位在专业业务活动及其辅助活动之外开展非独立核算经营活动取得的收入。</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五、附属单位上缴收入</w:t>
      </w:r>
      <w:r>
        <w:rPr>
          <w:rFonts w:ascii="仿宋" w:hAnsi="仿宋" w:eastAsia="仿宋" w:cs="仿宋"/>
          <w:b/>
          <w:color w:val="000000"/>
          <w:sz w:val="32"/>
        </w:rPr>
        <w:t>：</w:t>
      </w:r>
      <w:r>
        <w:rPr>
          <w:rFonts w:hint="eastAsia" w:ascii="仿宋" w:hAnsi="仿宋" w:eastAsia="仿宋" w:cs="仿宋"/>
          <w:color w:val="000000"/>
          <w:kern w:val="0"/>
          <w:sz w:val="32"/>
          <w:szCs w:val="32"/>
        </w:rPr>
        <w:t>指事业单位附属独立核算单位按照有关规定上缴的收入。</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六、其他收入</w:t>
      </w:r>
      <w:r>
        <w:rPr>
          <w:rFonts w:ascii="仿宋" w:hAnsi="仿宋" w:eastAsia="仿宋" w:cs="仿宋"/>
          <w:b/>
          <w:color w:val="000000"/>
          <w:sz w:val="32"/>
        </w:rPr>
        <w:t>：</w:t>
      </w:r>
      <w:r>
        <w:rPr>
          <w:rFonts w:hint="eastAsia" w:ascii="仿宋" w:hAnsi="仿宋" w:eastAsia="仿宋" w:cs="仿宋"/>
          <w:color w:val="000000"/>
          <w:kern w:val="0"/>
          <w:sz w:val="32"/>
          <w:szCs w:val="32"/>
        </w:rPr>
        <w:t>指单位取得的除上述“财政拨款收入”、“事业收入”、“经营收入”等以外的各项收入。</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七、使用非财政拨款结余</w:t>
      </w:r>
      <w:r>
        <w:rPr>
          <w:rFonts w:ascii="仿宋" w:hAnsi="仿宋" w:eastAsia="仿宋" w:cs="仿宋"/>
          <w:b/>
          <w:color w:val="000000"/>
          <w:sz w:val="32"/>
        </w:rPr>
        <w:t>：</w:t>
      </w:r>
      <w:r>
        <w:rPr>
          <w:rFonts w:hint="eastAsia" w:ascii="仿宋" w:hAnsi="仿宋" w:eastAsia="仿宋" w:cs="仿宋"/>
          <w:color w:val="000000"/>
          <w:kern w:val="0"/>
          <w:sz w:val="32"/>
          <w:szCs w:val="32"/>
        </w:rPr>
        <w:t>指事业单位使用非财政拨款结余（原事业基金）弥补当年收支差额的数额。</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八、年初结转和结余</w:t>
      </w:r>
      <w:r>
        <w:rPr>
          <w:rFonts w:ascii="仿宋" w:hAnsi="仿宋" w:eastAsia="仿宋" w:cs="仿宋"/>
          <w:b/>
          <w:color w:val="000000"/>
          <w:sz w:val="32"/>
        </w:rPr>
        <w:t>：</w:t>
      </w:r>
      <w:r>
        <w:rPr>
          <w:rFonts w:hint="eastAsia" w:ascii="仿宋" w:hAnsi="仿宋" w:eastAsia="仿宋" w:cs="仿宋"/>
          <w:color w:val="000000"/>
          <w:kern w:val="0"/>
          <w:sz w:val="32"/>
          <w:szCs w:val="32"/>
        </w:rPr>
        <w:t>指单位上年结转本年使用的基本支出结转、项目支出结转和结余和经营结余。</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九、结余分配</w:t>
      </w:r>
      <w:r>
        <w:rPr>
          <w:rFonts w:ascii="仿宋" w:hAnsi="仿宋" w:eastAsia="仿宋" w:cs="仿宋"/>
          <w:b/>
          <w:color w:val="000000"/>
          <w:sz w:val="32"/>
        </w:rPr>
        <w:t>：</w:t>
      </w:r>
      <w:r>
        <w:rPr>
          <w:rFonts w:hint="eastAsia" w:ascii="仿宋" w:hAnsi="仿宋" w:eastAsia="仿宋" w:cs="仿宋"/>
          <w:color w:val="000000"/>
          <w:kern w:val="0"/>
          <w:sz w:val="32"/>
          <w:szCs w:val="32"/>
        </w:rPr>
        <w:t>指事业单位按规定对非财政拨款结余资金提取的专用基金、缴纳的所得税和转入非财政拨款结余等。</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十、年末结转和结余资金</w:t>
      </w:r>
      <w:r>
        <w:rPr>
          <w:rFonts w:ascii="仿宋" w:hAnsi="仿宋" w:eastAsia="仿宋" w:cs="仿宋"/>
          <w:b/>
          <w:color w:val="000000"/>
          <w:sz w:val="32"/>
        </w:rPr>
        <w:t>：</w:t>
      </w:r>
      <w:r>
        <w:rPr>
          <w:rFonts w:hint="eastAsia" w:ascii="仿宋" w:hAnsi="仿宋" w:eastAsia="仿宋" w:cs="仿宋"/>
          <w:color w:val="000000"/>
          <w:kern w:val="0"/>
          <w:sz w:val="32"/>
          <w:szCs w:val="32"/>
        </w:rPr>
        <w:t>指本年度或以前年度预算安排、因客观条件发生变化无法按原计划实施，需要延迟到以后年度按有关规定继续使用的资金。</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十一、基本支出</w:t>
      </w:r>
      <w:r>
        <w:rPr>
          <w:rFonts w:ascii="仿宋" w:hAnsi="仿宋" w:eastAsia="仿宋" w:cs="仿宋"/>
          <w:b/>
          <w:color w:val="000000"/>
          <w:sz w:val="32"/>
        </w:rPr>
        <w:t>：</w:t>
      </w:r>
      <w:r>
        <w:rPr>
          <w:rFonts w:hint="eastAsia" w:ascii="仿宋" w:hAnsi="仿宋" w:eastAsia="仿宋" w:cs="仿宋"/>
          <w:color w:val="000000"/>
          <w:kern w:val="0"/>
          <w:sz w:val="32"/>
          <w:szCs w:val="32"/>
        </w:rPr>
        <w:t>指为保障机构正常运转、完成日常工作任务而发生的支出，包括人员经费和公用经费。</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十二、项目支出</w:t>
      </w:r>
      <w:r>
        <w:rPr>
          <w:rFonts w:ascii="仿宋" w:hAnsi="仿宋" w:eastAsia="仿宋" w:cs="仿宋"/>
          <w:b/>
          <w:color w:val="000000"/>
          <w:sz w:val="32"/>
        </w:rPr>
        <w:t>：</w:t>
      </w:r>
      <w:r>
        <w:rPr>
          <w:rFonts w:hint="eastAsia" w:ascii="仿宋" w:hAnsi="仿宋" w:eastAsia="仿宋" w:cs="仿宋"/>
          <w:color w:val="000000"/>
          <w:kern w:val="0"/>
          <w:sz w:val="32"/>
          <w:szCs w:val="32"/>
        </w:rPr>
        <w:t>指在为完成特定的工作任务和事业发展目标所发生的支出。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十三、上缴上级支出</w:t>
      </w:r>
      <w:r>
        <w:rPr>
          <w:rFonts w:ascii="仿宋" w:hAnsi="仿宋" w:eastAsia="仿宋" w:cs="仿宋"/>
          <w:b/>
          <w:color w:val="000000"/>
          <w:sz w:val="32"/>
        </w:rPr>
        <w:t>：</w:t>
      </w:r>
      <w:r>
        <w:rPr>
          <w:rFonts w:hint="eastAsia" w:ascii="仿宋" w:hAnsi="仿宋" w:eastAsia="仿宋" w:cs="仿宋"/>
          <w:color w:val="000000"/>
          <w:kern w:val="0"/>
          <w:sz w:val="32"/>
          <w:szCs w:val="32"/>
        </w:rPr>
        <w:t>指事业单位按照财政部门和主管部门的规定上缴上级单位的支出。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十四、经营支出</w:t>
      </w:r>
      <w:r>
        <w:rPr>
          <w:rFonts w:ascii="仿宋" w:hAnsi="仿宋" w:eastAsia="仿宋" w:cs="仿宋"/>
          <w:b/>
          <w:color w:val="000000"/>
          <w:sz w:val="32"/>
        </w:rPr>
        <w:t>：</w:t>
      </w:r>
      <w:r>
        <w:rPr>
          <w:rFonts w:hint="eastAsia" w:ascii="仿宋" w:hAnsi="仿宋" w:eastAsia="仿宋" w:cs="仿宋"/>
          <w:color w:val="000000"/>
          <w:kern w:val="0"/>
          <w:sz w:val="32"/>
          <w:szCs w:val="32"/>
        </w:rPr>
        <w:t>指事业单位在专业业务活动及其辅助活动之外开展非独立核算经营活动发生的支出。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十五、对附属单位补助支出</w:t>
      </w:r>
      <w:r>
        <w:rPr>
          <w:rFonts w:ascii="仿宋" w:hAnsi="仿宋" w:eastAsia="仿宋" w:cs="仿宋"/>
          <w:b/>
          <w:color w:val="000000"/>
          <w:sz w:val="32"/>
        </w:rPr>
        <w:t>：</w:t>
      </w:r>
      <w:r>
        <w:rPr>
          <w:rFonts w:hint="eastAsia" w:ascii="仿宋" w:hAnsi="仿宋" w:eastAsia="仿宋" w:cs="仿宋"/>
          <w:color w:val="000000"/>
          <w:kern w:val="0"/>
          <w:sz w:val="32"/>
          <w:szCs w:val="32"/>
        </w:rPr>
        <w:t>指事业单位用财政拨款收入之外的收入对附属单位补助发生的支出。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十六、“三公”经费</w:t>
      </w:r>
      <w:r>
        <w:rPr>
          <w:rFonts w:ascii="仿宋" w:hAnsi="仿宋" w:eastAsia="仿宋" w:cs="仿宋"/>
          <w:b/>
          <w:color w:val="000000"/>
          <w:sz w:val="32"/>
        </w:rPr>
        <w:t>：</w:t>
      </w:r>
      <w:r>
        <w:rPr>
          <w:rFonts w:hint="eastAsia" w:ascii="仿宋" w:hAnsi="仿宋" w:eastAsia="仿宋" w:cs="仿宋"/>
          <w:color w:val="000000"/>
          <w:kern w:val="0"/>
          <w:sz w:val="32"/>
          <w:szCs w:val="32"/>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十七、机关运行经费</w:t>
      </w:r>
      <w:r>
        <w:rPr>
          <w:rFonts w:ascii="仿宋" w:hAnsi="仿宋" w:eastAsia="仿宋" w:cs="仿宋"/>
          <w:b/>
          <w:color w:val="000000"/>
          <w:sz w:val="32"/>
        </w:rPr>
        <w:t>：</w:t>
      </w:r>
      <w:r>
        <w:rPr>
          <w:rFonts w:hint="eastAsia" w:ascii="仿宋" w:hAnsi="仿宋" w:eastAsia="仿宋" w:cs="仿宋"/>
          <w:color w:val="000000"/>
          <w:kern w:val="0"/>
          <w:sz w:val="32"/>
          <w:szCs w:val="32"/>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十八、教育支出(类)普通教育(款)学前教育(项)</w:t>
      </w:r>
      <w:r>
        <w:rPr>
          <w:rFonts w:ascii="仿宋" w:hAnsi="仿宋" w:eastAsia="仿宋" w:cs="仿宋"/>
          <w:b/>
          <w:color w:val="000000"/>
          <w:sz w:val="32"/>
        </w:rPr>
        <w:t>：</w:t>
      </w:r>
      <w:r>
        <w:rPr>
          <w:rFonts w:hint="eastAsia" w:ascii="仿宋" w:hAnsi="仿宋" w:eastAsia="仿宋" w:cs="仿宋"/>
          <w:color w:val="000000"/>
          <w:kern w:val="0"/>
          <w:sz w:val="32"/>
          <w:szCs w:val="32"/>
        </w:rPr>
        <w:t>反映各部门举办的学前教育支出。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十九、教育支出(类)普通教育(款)高中教育(项)</w:t>
      </w:r>
      <w:r>
        <w:rPr>
          <w:rFonts w:ascii="仿宋" w:hAnsi="仿宋" w:eastAsia="仿宋" w:cs="仿宋"/>
          <w:b/>
          <w:color w:val="000000"/>
          <w:sz w:val="32"/>
        </w:rPr>
        <w:t>：</w:t>
      </w:r>
      <w:r>
        <w:rPr>
          <w:rFonts w:hint="eastAsia" w:ascii="仿宋" w:hAnsi="仿宋" w:eastAsia="仿宋" w:cs="仿宋"/>
          <w:color w:val="000000"/>
          <w:kern w:val="0"/>
          <w:sz w:val="32"/>
          <w:szCs w:val="32"/>
        </w:rPr>
        <w:t>反映各部门举办的高级中学教育支出。政府各部门对社会中介组织等举办的高级中学的资助，如捐赠、补贴等，也在本科目中反映。</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二十、教育支出(类)职业教育(款)中等职业教育(项)</w:t>
      </w:r>
      <w:r>
        <w:rPr>
          <w:rFonts w:ascii="仿宋" w:hAnsi="仿宋" w:eastAsia="仿宋" w:cs="仿宋"/>
          <w:b/>
          <w:color w:val="000000"/>
          <w:sz w:val="32"/>
        </w:rPr>
        <w:t>：</w:t>
      </w:r>
      <w:r>
        <w:rPr>
          <w:rFonts w:hint="eastAsia" w:ascii="仿宋" w:hAnsi="仿宋" w:eastAsia="仿宋" w:cs="仿宋"/>
          <w:color w:val="000000"/>
          <w:kern w:val="0"/>
          <w:sz w:val="32"/>
          <w:szCs w:val="32"/>
        </w:rPr>
        <w:t>反映各部门（不含人力资源社会保障部门）举办的中等职业学校支出。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二十一、教育支出(类)职业教育(款)其他职业教育支出(项)</w:t>
      </w:r>
      <w:r>
        <w:rPr>
          <w:rFonts w:ascii="仿宋" w:hAnsi="仿宋" w:eastAsia="仿宋" w:cs="仿宋"/>
          <w:b/>
          <w:color w:val="000000"/>
          <w:sz w:val="32"/>
        </w:rPr>
        <w:t>：</w:t>
      </w:r>
      <w:r>
        <w:rPr>
          <w:rFonts w:hint="eastAsia" w:ascii="仿宋" w:hAnsi="仿宋" w:eastAsia="仿宋" w:cs="仿宋"/>
          <w:color w:val="000000"/>
          <w:kern w:val="0"/>
          <w:sz w:val="32"/>
          <w:szCs w:val="32"/>
        </w:rPr>
        <w:t>反映除上述项目以外其他用于职业教育方面的支出。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二十二、教育支出(类)教育费附加安排的支出(款)其他教育费附加安排的支出(项)</w:t>
      </w:r>
      <w:r>
        <w:rPr>
          <w:rFonts w:ascii="仿宋" w:hAnsi="仿宋" w:eastAsia="仿宋" w:cs="仿宋"/>
          <w:b/>
          <w:color w:val="000000"/>
          <w:sz w:val="32"/>
        </w:rPr>
        <w:t>：</w:t>
      </w:r>
      <w:r>
        <w:rPr>
          <w:rFonts w:hint="eastAsia" w:ascii="仿宋" w:hAnsi="仿宋" w:eastAsia="仿宋" w:cs="仿宋"/>
          <w:color w:val="000000"/>
          <w:kern w:val="0"/>
          <w:sz w:val="32"/>
          <w:szCs w:val="32"/>
        </w:rPr>
        <w:t>反映除上述项目以外的教育费附加支出。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二十三、教育支出(类)其他教育支出(款)其他教育支出(项)</w:t>
      </w:r>
      <w:r>
        <w:rPr>
          <w:rFonts w:ascii="仿宋" w:hAnsi="仿宋" w:eastAsia="仿宋" w:cs="仿宋"/>
          <w:b/>
          <w:color w:val="000000"/>
          <w:sz w:val="32"/>
        </w:rPr>
        <w:t>：</w:t>
      </w:r>
      <w:r>
        <w:rPr>
          <w:rFonts w:hint="eastAsia" w:ascii="仿宋" w:hAnsi="仿宋" w:eastAsia="仿宋" w:cs="仿宋"/>
          <w:color w:val="000000"/>
          <w:kern w:val="0"/>
          <w:sz w:val="32"/>
          <w:szCs w:val="32"/>
        </w:rPr>
        <w:t>反映除上述项目以外其他用于教育方面的支出。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二十四、文化旅游体育与传媒支出(类)文化和旅游(款)其他文化和旅游支出(项)</w:t>
      </w:r>
      <w:r>
        <w:rPr>
          <w:rFonts w:ascii="仿宋" w:hAnsi="仿宋" w:eastAsia="仿宋" w:cs="仿宋"/>
          <w:b/>
          <w:color w:val="000000"/>
          <w:sz w:val="32"/>
        </w:rPr>
        <w:t>：</w:t>
      </w:r>
      <w:r>
        <w:rPr>
          <w:rFonts w:hint="eastAsia" w:ascii="仿宋" w:hAnsi="仿宋" w:eastAsia="仿宋" w:cs="仿宋"/>
          <w:color w:val="000000"/>
          <w:kern w:val="0"/>
          <w:sz w:val="32"/>
          <w:szCs w:val="32"/>
        </w:rPr>
        <w:t>反映除上述项目以外其他用于文化和旅游方面的支出。</w:t>
      </w:r>
    </w:p>
    <w:p>
      <w:pPr>
        <w:ind w:firstLine="643" w:firstLineChars="200"/>
        <w:jc w:val="both"/>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二十五、社会保障和就业支出(类)行政事业单位养老支出(款)机关事业单位职业年金缴费支出(项)</w:t>
      </w:r>
      <w:r>
        <w:rPr>
          <w:rFonts w:ascii="仿宋" w:hAnsi="仿宋" w:eastAsia="仿宋" w:cs="仿宋"/>
          <w:b/>
          <w:color w:val="000000"/>
          <w:sz w:val="32"/>
        </w:rPr>
        <w:t>：</w:t>
      </w:r>
      <w:r>
        <w:rPr>
          <w:rFonts w:hint="eastAsia" w:ascii="仿宋" w:hAnsi="仿宋" w:eastAsia="仿宋" w:cs="仿宋"/>
          <w:color w:val="000000"/>
          <w:kern w:val="0"/>
          <w:sz w:val="32"/>
          <w:szCs w:val="32"/>
        </w:rPr>
        <w:t>反映机关事业单位实施养老保险制度由单位实际缴纳的职业年金支出。</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3" w:hRule="atLeast"/>
        </w:trPr>
        <w:tc>
          <w:tcPr>
            <w:tcW w:w="8516" w:type="dxa"/>
            <w:tcBorders>
              <w:top w:val="nil"/>
              <w:left w:val="nil"/>
              <w:bottom w:val="nil"/>
              <w:right w:val="nil"/>
            </w:tcBorders>
            <w:vAlign w:val="center"/>
          </w:tcPr>
          <w:p>
            <w:pPr>
              <w:pStyle w:val="10"/>
              <w:jc w:val="center"/>
              <w:rPr>
                <w:rFonts w:hint="eastAsia" w:ascii="仿宋" w:hAnsi="仿宋" w:eastAsia="仿宋" w:cs="仿宋"/>
                <w:b/>
                <w:bCs/>
                <w:sz w:val="52"/>
                <w:szCs w:val="52"/>
              </w:rPr>
            </w:pPr>
            <w:r>
              <w:rPr>
                <w:rFonts w:hint="eastAsia" w:ascii="仿宋" w:hAnsi="仿宋" w:eastAsia="仿宋" w:cs="仿宋"/>
                <w:b/>
                <w:bCs/>
                <w:sz w:val="52"/>
                <w:szCs w:val="52"/>
              </w:rPr>
              <w:t>第</w:t>
            </w:r>
            <w:r>
              <w:rPr>
                <w:rFonts w:hint="eastAsia" w:ascii="仿宋" w:hAnsi="仿宋" w:eastAsia="仿宋" w:cs="仿宋"/>
                <w:b/>
                <w:bCs/>
                <w:sz w:val="52"/>
                <w:szCs w:val="52"/>
                <w:lang w:val="en-US" w:eastAsia="zh-CN"/>
              </w:rPr>
              <w:t>五</w:t>
            </w:r>
            <w:r>
              <w:rPr>
                <w:rFonts w:hint="eastAsia" w:ascii="仿宋" w:hAnsi="仿宋" w:eastAsia="仿宋" w:cs="仿宋"/>
                <w:b/>
                <w:bCs/>
                <w:sz w:val="52"/>
                <w:szCs w:val="52"/>
              </w:rPr>
              <w:t>部分</w:t>
            </w:r>
          </w:p>
          <w:p>
            <w:pPr>
              <w:pStyle w:val="10"/>
              <w:jc w:val="center"/>
              <w:rPr>
                <w:rFonts w:hint="eastAsia" w:ascii="仿宋" w:hAnsi="仿宋" w:eastAsia="仿宋" w:cs="仿宋"/>
                <w:b/>
                <w:bCs/>
                <w:sz w:val="52"/>
                <w:szCs w:val="52"/>
              </w:rPr>
            </w:pPr>
          </w:p>
          <w:p>
            <w:pPr>
              <w:pStyle w:val="10"/>
              <w:jc w:val="center"/>
              <w:rPr>
                <w:rFonts w:hint="eastAsia" w:ascii="仿宋" w:hAnsi="仿宋" w:eastAsia="仿宋" w:cs="仿宋"/>
                <w:b/>
                <w:bCs/>
                <w:sz w:val="52"/>
                <w:szCs w:val="52"/>
              </w:rPr>
            </w:pPr>
            <w:r>
              <w:rPr>
                <w:rFonts w:hint="eastAsia" w:ascii="仿宋" w:hAnsi="仿宋" w:eastAsia="仿宋" w:cs="仿宋"/>
                <w:b/>
                <w:bCs/>
                <w:color w:val="000000"/>
                <w:kern w:val="0"/>
                <w:sz w:val="52"/>
                <w:szCs w:val="52"/>
                <w:lang w:val="en-US" w:eastAsia="zh-CN"/>
              </w:rPr>
              <w:t>附件</w:t>
            </w:r>
          </w:p>
        </w:tc>
      </w:tr>
    </w:tbl>
    <w:p/>
    <w:p/>
    <w:p/>
    <w:p/>
    <w:p/>
    <w:p/>
    <w:p/>
    <w:p>
      <w:pPr>
        <w:pStyle w:val="6"/>
        <w:widowControl/>
        <w:spacing w:before="0" w:beforeAutospacing="0" w:after="0" w:afterAutospacing="0" w:line="420" w:lineRule="atLeast"/>
        <w:ind w:firstLine="880" w:firstLineChars="200"/>
        <w:rPr>
          <w:rFonts w:hint="eastAsia" w:ascii="黑体" w:hAnsi="黑体" w:eastAsia="黑体" w:cs="黑体"/>
          <w:color w:val="000000"/>
          <w:sz w:val="44"/>
          <w:szCs w:val="44"/>
          <w:lang w:val="en-US" w:eastAsia="zh-CN"/>
        </w:rPr>
      </w:pPr>
      <w:r>
        <w:rPr>
          <w:rFonts w:hint="eastAsia" w:ascii="黑体" w:hAnsi="黑体" w:eastAsia="黑体" w:cs="黑体"/>
          <w:color w:val="000000"/>
          <w:sz w:val="44"/>
          <w:szCs w:val="44"/>
          <w:lang w:val="en-US" w:eastAsia="zh-CN"/>
        </w:rPr>
        <w:t>2020年度部门整体绩效管理报告</w:t>
      </w:r>
    </w:p>
    <w:p>
      <w:pPr>
        <w:pStyle w:val="6"/>
        <w:widowControl/>
        <w:spacing w:before="0" w:beforeAutospacing="0" w:after="0" w:afterAutospacing="0" w:line="420" w:lineRule="atLeast"/>
        <w:ind w:firstLine="420" w:firstLineChars="200"/>
        <w:rPr>
          <w:rFonts w:hint="eastAsia" w:ascii="微软雅黑" w:hAnsi="微软雅黑" w:eastAsia="微软雅黑" w:cs="微软雅黑"/>
          <w:color w:val="000000"/>
          <w:sz w:val="21"/>
          <w:szCs w:val="21"/>
        </w:rPr>
      </w:pPr>
    </w:p>
    <w:p>
      <w:pPr>
        <w:pStyle w:val="6"/>
        <w:widowControl/>
        <w:spacing w:before="0" w:beforeAutospacing="0" w:after="0" w:afterAutospacing="0" w:line="420" w:lineRule="atLeast"/>
        <w:ind w:firstLine="420" w:firstLineChars="200"/>
        <w:rPr>
          <w:rFonts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一、部门职能职责</w:t>
      </w:r>
    </w:p>
    <w:p>
      <w:pPr>
        <w:pStyle w:val="6"/>
        <w:widowControl/>
        <w:spacing w:before="0" w:beforeAutospacing="0" w:after="0" w:afterAutospacing="0" w:line="420" w:lineRule="atLeast"/>
        <w:ind w:firstLine="420"/>
        <w:rPr>
          <w:rFonts w:ascii="微软雅黑" w:hAnsi="微软雅黑" w:eastAsia="微软雅黑" w:cs="微软雅黑"/>
          <w:color w:val="000000"/>
          <w:sz w:val="21"/>
          <w:szCs w:val="21"/>
          <w:shd w:val="clear" w:color="auto" w:fill="FFFFFF"/>
        </w:rPr>
      </w:pPr>
      <w:r>
        <w:rPr>
          <w:rFonts w:ascii="微软雅黑" w:hAnsi="微软雅黑" w:eastAsia="微软雅黑" w:cs="微软雅黑"/>
          <w:color w:val="000000"/>
          <w:sz w:val="21"/>
          <w:szCs w:val="21"/>
          <w:shd w:val="clear" w:color="auto" w:fill="FFFFFF"/>
        </w:rPr>
        <w:t>①负责培养专科（中专）</w:t>
      </w:r>
      <w:r>
        <w:rPr>
          <w:rFonts w:hint="eastAsia" w:ascii="微软雅黑" w:hAnsi="微软雅黑" w:eastAsia="微软雅黑" w:cs="微软雅黑"/>
          <w:color w:val="000000"/>
          <w:sz w:val="21"/>
          <w:szCs w:val="21"/>
          <w:shd w:val="clear" w:color="auto" w:fill="FFFFFF"/>
          <w:lang w:eastAsia="zh-CN"/>
        </w:rPr>
        <w:t>学历层次</w:t>
      </w:r>
      <w:r>
        <w:rPr>
          <w:rFonts w:ascii="微软雅黑" w:hAnsi="微软雅黑" w:eastAsia="微软雅黑" w:cs="微软雅黑"/>
          <w:color w:val="000000"/>
          <w:sz w:val="21"/>
          <w:szCs w:val="21"/>
          <w:shd w:val="clear" w:color="auto" w:fill="FFFFFF"/>
        </w:rPr>
        <w:t>的幼儿</w:t>
      </w:r>
      <w:r>
        <w:rPr>
          <w:rFonts w:hint="eastAsia" w:ascii="微软雅黑" w:hAnsi="微软雅黑" w:eastAsia="微软雅黑" w:cs="微软雅黑"/>
          <w:color w:val="000000"/>
          <w:sz w:val="21"/>
          <w:szCs w:val="21"/>
          <w:shd w:val="clear" w:color="auto" w:fill="FFFFFF"/>
        </w:rPr>
        <w:t>园、小学</w:t>
      </w:r>
      <w:r>
        <w:rPr>
          <w:rFonts w:ascii="微软雅黑" w:hAnsi="微软雅黑" w:eastAsia="微软雅黑" w:cs="微软雅黑"/>
          <w:color w:val="000000"/>
          <w:sz w:val="21"/>
          <w:szCs w:val="21"/>
          <w:shd w:val="clear" w:color="auto" w:fill="FFFFFF"/>
        </w:rPr>
        <w:t>教师；</w:t>
      </w:r>
    </w:p>
    <w:p>
      <w:pPr>
        <w:pStyle w:val="6"/>
        <w:widowControl/>
        <w:spacing w:before="0" w:beforeAutospacing="0" w:after="0" w:afterAutospacing="0" w:line="420" w:lineRule="atLeast"/>
        <w:ind w:firstLine="420"/>
        <w:rPr>
          <w:rFonts w:ascii="微软雅黑" w:hAnsi="微软雅黑" w:eastAsia="微软雅黑" w:cs="微软雅黑"/>
          <w:color w:val="000000"/>
          <w:sz w:val="21"/>
          <w:szCs w:val="21"/>
        </w:rPr>
      </w:pPr>
      <w:r>
        <w:rPr>
          <w:rFonts w:ascii="微软雅黑" w:hAnsi="微软雅黑" w:eastAsia="微软雅黑" w:cs="微软雅黑"/>
          <w:color w:val="000000"/>
          <w:sz w:val="21"/>
          <w:szCs w:val="21"/>
          <w:shd w:val="clear" w:color="auto" w:fill="FFFFFF"/>
        </w:rPr>
        <w:t>②负责省内小学</w:t>
      </w:r>
      <w:r>
        <w:rPr>
          <w:rFonts w:hint="eastAsia" w:ascii="微软雅黑" w:hAnsi="微软雅黑" w:eastAsia="微软雅黑" w:cs="微软雅黑"/>
          <w:color w:val="000000"/>
          <w:sz w:val="21"/>
          <w:szCs w:val="21"/>
          <w:shd w:val="clear" w:color="auto" w:fill="FFFFFF"/>
          <w:lang w:eastAsia="zh-CN"/>
        </w:rPr>
        <w:t>、</w:t>
      </w:r>
      <w:r>
        <w:rPr>
          <w:rFonts w:ascii="微软雅黑" w:hAnsi="微软雅黑" w:eastAsia="微软雅黑" w:cs="微软雅黑"/>
          <w:color w:val="000000"/>
          <w:sz w:val="21"/>
          <w:szCs w:val="21"/>
          <w:shd w:val="clear" w:color="auto" w:fill="FFFFFF"/>
        </w:rPr>
        <w:t>幼儿教师的继续教育培训。</w:t>
      </w:r>
    </w:p>
    <w:p>
      <w:pPr>
        <w:pStyle w:val="6"/>
        <w:widowControl/>
        <w:spacing w:before="0" w:beforeAutospacing="0" w:after="0" w:afterAutospacing="0" w:line="420" w:lineRule="atLeast"/>
        <w:ind w:firstLine="420" w:firstLineChars="200"/>
        <w:rPr>
          <w:rFonts w:ascii="微软雅黑" w:hAnsi="微软雅黑" w:eastAsia="微软雅黑" w:cs="微软雅黑"/>
          <w:sz w:val="21"/>
          <w:szCs w:val="21"/>
        </w:rPr>
      </w:pPr>
      <w:r>
        <w:rPr>
          <w:rFonts w:hint="eastAsia" w:ascii="微软雅黑" w:hAnsi="微软雅黑" w:eastAsia="微软雅黑" w:cs="微软雅黑"/>
          <w:color w:val="000000"/>
          <w:sz w:val="21"/>
          <w:szCs w:val="21"/>
        </w:rPr>
        <w:t>二、单位机构设置、人员情况</w:t>
      </w:r>
    </w:p>
    <w:p>
      <w:pPr>
        <w:pStyle w:val="6"/>
        <w:widowControl/>
        <w:spacing w:before="0" w:beforeAutospacing="0" w:after="0" w:afterAutospacing="0" w:line="420" w:lineRule="atLeast"/>
        <w:ind w:firstLine="420"/>
        <w:rPr>
          <w:rFonts w:ascii="微软雅黑" w:hAnsi="微软雅黑" w:eastAsia="微软雅黑" w:cs="微软雅黑"/>
          <w:sz w:val="21"/>
          <w:szCs w:val="21"/>
        </w:rPr>
      </w:pPr>
      <w:r>
        <w:rPr>
          <w:rFonts w:hint="eastAsia" w:ascii="微软雅黑" w:hAnsi="微软雅黑" w:eastAsia="微软雅黑" w:cs="微软雅黑"/>
          <w:color w:val="000000"/>
          <w:sz w:val="21"/>
          <w:szCs w:val="21"/>
        </w:rPr>
        <w:t>衡阳幼儿师范高等专科学校是2020年经湖南省教育厅批复、教育部备案、由原衡阳师范学校、耒阳师范学校和衡阳艺术学校合并</w:t>
      </w:r>
      <w:r>
        <w:rPr>
          <w:rFonts w:hint="eastAsia" w:ascii="微软雅黑" w:hAnsi="微软雅黑" w:eastAsia="微软雅黑" w:cs="微软雅黑"/>
          <w:color w:val="000000"/>
          <w:sz w:val="21"/>
          <w:szCs w:val="21"/>
          <w:lang w:eastAsia="zh-CN"/>
        </w:rPr>
        <w:t>创建</w:t>
      </w:r>
      <w:r>
        <w:rPr>
          <w:rFonts w:hint="eastAsia" w:ascii="微软雅黑" w:hAnsi="微软雅黑" w:eastAsia="微软雅黑" w:cs="微软雅黑"/>
          <w:color w:val="000000"/>
          <w:sz w:val="21"/>
          <w:szCs w:val="21"/>
        </w:rPr>
        <w:t>成立的一所全日制公办高等专科学校，</w:t>
      </w:r>
      <w:r>
        <w:rPr>
          <w:rFonts w:hint="eastAsia" w:ascii="微软雅黑" w:hAnsi="微软雅黑" w:eastAsia="微软雅黑" w:cs="微软雅黑"/>
          <w:sz w:val="21"/>
          <w:szCs w:val="21"/>
        </w:rPr>
        <w:t>学校属市本级财政预算全额拨款事业单位，统一社会信用代码：12430400445429336T。学校内设党政办公室、组织人事处、宣传统战处、学生工作处、教务处等17个党政管理机构，学前教育学院、小学教育学院、艺术教育学院、耒阳学院，附属艺术中等专业学校、思政部等11个教学教辅机构。学校人员编制数503人，20</w:t>
      </w:r>
      <w:r>
        <w:rPr>
          <w:rFonts w:ascii="微软雅黑" w:hAnsi="微软雅黑" w:eastAsia="微软雅黑" w:cs="微软雅黑"/>
          <w:sz w:val="21"/>
          <w:szCs w:val="21"/>
        </w:rPr>
        <w:t>2</w:t>
      </w:r>
      <w:r>
        <w:rPr>
          <w:rFonts w:hint="eastAsia" w:ascii="微软雅黑" w:hAnsi="微软雅黑" w:eastAsia="微软雅黑" w:cs="微软雅黑"/>
          <w:sz w:val="21"/>
          <w:szCs w:val="21"/>
        </w:rPr>
        <w:t>0年末学校在编职工430人，其中：正高职称教师 8人，副高职称教师124 人，中级 146人，学校现有全日制专科在校生6964余人，非全日制在校学生4589人。教师队伍整体素质较高，结构较合理，能满足教育教学需要。</w:t>
      </w:r>
    </w:p>
    <w:p>
      <w:pPr>
        <w:spacing w:line="520" w:lineRule="exact"/>
        <w:ind w:firstLine="420" w:firstLineChars="200"/>
        <w:rPr>
          <w:rFonts w:ascii="微软雅黑" w:hAnsi="微软雅黑" w:eastAsia="微软雅黑" w:cs="微软雅黑"/>
          <w:kern w:val="0"/>
          <w:szCs w:val="21"/>
        </w:rPr>
      </w:pPr>
      <w:r>
        <w:rPr>
          <w:rFonts w:hint="eastAsia" w:ascii="微软雅黑" w:hAnsi="微软雅黑" w:eastAsia="微软雅黑" w:cs="微软雅黑"/>
          <w:kern w:val="0"/>
          <w:szCs w:val="21"/>
        </w:rPr>
        <w:t>三、收入支出预算执行情况分析</w:t>
      </w:r>
    </w:p>
    <w:p>
      <w:pPr>
        <w:spacing w:line="520" w:lineRule="exact"/>
        <w:ind w:firstLine="420" w:firstLineChars="200"/>
        <w:rPr>
          <w:rFonts w:ascii="微软雅黑" w:hAnsi="微软雅黑" w:eastAsia="微软雅黑" w:cs="微软雅黑"/>
          <w:kern w:val="0"/>
          <w:szCs w:val="21"/>
        </w:rPr>
      </w:pPr>
      <w:r>
        <w:rPr>
          <w:rFonts w:hint="eastAsia" w:ascii="微软雅黑" w:hAnsi="微软雅黑" w:eastAsia="微软雅黑" w:cs="微软雅黑"/>
          <w:kern w:val="0"/>
          <w:szCs w:val="21"/>
        </w:rPr>
        <w:t>（一）收入支出预算安排情况。</w:t>
      </w:r>
    </w:p>
    <w:p>
      <w:pPr>
        <w:spacing w:line="360" w:lineRule="auto"/>
        <w:ind w:firstLine="420" w:firstLineChars="200"/>
        <w:rPr>
          <w:rFonts w:ascii="微软雅黑" w:hAnsi="微软雅黑" w:eastAsia="微软雅黑" w:cs="微软雅黑"/>
          <w:kern w:val="0"/>
          <w:szCs w:val="21"/>
        </w:rPr>
      </w:pPr>
      <w:r>
        <w:rPr>
          <w:rFonts w:ascii="微软雅黑" w:hAnsi="微软雅黑" w:eastAsia="微软雅黑" w:cs="微软雅黑"/>
          <w:kern w:val="0"/>
          <w:szCs w:val="21"/>
        </w:rPr>
        <w:t>2020</w:t>
      </w:r>
      <w:r>
        <w:rPr>
          <w:rFonts w:hint="eastAsia" w:ascii="微软雅黑" w:hAnsi="微软雅黑" w:eastAsia="微软雅黑" w:cs="微软雅黑"/>
          <w:kern w:val="0"/>
          <w:szCs w:val="21"/>
        </w:rPr>
        <w:t>年，本部门年初预算收入</w:t>
      </w:r>
      <w:r>
        <w:rPr>
          <w:rFonts w:ascii="微软雅黑" w:hAnsi="微软雅黑" w:eastAsia="微软雅黑" w:cs="微软雅黑"/>
          <w:kern w:val="0"/>
          <w:szCs w:val="21"/>
        </w:rPr>
        <w:t>11,187</w:t>
      </w:r>
      <w:r>
        <w:rPr>
          <w:rFonts w:hint="eastAsia" w:ascii="微软雅黑" w:hAnsi="微软雅黑" w:eastAsia="微软雅黑" w:cs="微软雅黑"/>
          <w:kern w:val="0"/>
          <w:szCs w:val="21"/>
        </w:rPr>
        <w:t>万元，比上年增加</w:t>
      </w:r>
      <w:r>
        <w:rPr>
          <w:rFonts w:ascii="微软雅黑" w:hAnsi="微软雅黑" w:eastAsia="微软雅黑" w:cs="微软雅黑"/>
          <w:kern w:val="0"/>
          <w:szCs w:val="21"/>
        </w:rPr>
        <w:t>6,786</w:t>
      </w:r>
      <w:r>
        <w:rPr>
          <w:rFonts w:hint="eastAsia" w:ascii="微软雅黑" w:hAnsi="微软雅黑" w:eastAsia="微软雅黑" w:cs="微软雅黑"/>
          <w:kern w:val="0"/>
          <w:szCs w:val="21"/>
        </w:rPr>
        <w:t>万元，增长</w:t>
      </w:r>
      <w:r>
        <w:rPr>
          <w:rFonts w:ascii="微软雅黑" w:hAnsi="微软雅黑" w:eastAsia="微软雅黑" w:cs="微软雅黑"/>
          <w:kern w:val="0"/>
          <w:szCs w:val="21"/>
        </w:rPr>
        <w:t>154.18%,</w:t>
      </w:r>
      <w:r>
        <w:rPr>
          <w:rFonts w:hint="eastAsia" w:ascii="微软雅黑" w:hAnsi="微软雅黑" w:eastAsia="微软雅黑" w:cs="微软雅黑"/>
          <w:kern w:val="0"/>
          <w:szCs w:val="21"/>
        </w:rPr>
        <w:t>变化的主要原因是：幼高专三校合并，资金相应汇总，人员大幅增加。其中：一般公共预算财政拨款收入年初预算</w:t>
      </w:r>
      <w:r>
        <w:rPr>
          <w:rFonts w:ascii="微软雅黑" w:hAnsi="微软雅黑" w:eastAsia="微软雅黑" w:cs="微软雅黑"/>
          <w:kern w:val="0"/>
          <w:szCs w:val="21"/>
        </w:rPr>
        <w:t>8,514</w:t>
      </w:r>
      <w:r>
        <w:rPr>
          <w:rFonts w:hint="eastAsia" w:ascii="微软雅黑" w:hAnsi="微软雅黑" w:eastAsia="微软雅黑" w:cs="微软雅黑"/>
          <w:kern w:val="0"/>
          <w:szCs w:val="21"/>
        </w:rPr>
        <w:t>万元，比上年增加</w:t>
      </w:r>
      <w:r>
        <w:rPr>
          <w:rFonts w:ascii="微软雅黑" w:hAnsi="微软雅黑" w:eastAsia="微软雅黑" w:cs="微软雅黑"/>
          <w:kern w:val="0"/>
          <w:szCs w:val="21"/>
        </w:rPr>
        <w:t>6,171</w:t>
      </w:r>
      <w:r>
        <w:rPr>
          <w:rFonts w:hint="eastAsia" w:ascii="微软雅黑" w:hAnsi="微软雅黑" w:eastAsia="微软雅黑" w:cs="微软雅黑"/>
          <w:kern w:val="0"/>
          <w:szCs w:val="21"/>
        </w:rPr>
        <w:t>万元；事业收入年初预算</w:t>
      </w:r>
      <w:r>
        <w:rPr>
          <w:rFonts w:ascii="微软雅黑" w:hAnsi="微软雅黑" w:eastAsia="微软雅黑" w:cs="微软雅黑"/>
          <w:kern w:val="0"/>
          <w:szCs w:val="21"/>
        </w:rPr>
        <w:t>2,515</w:t>
      </w:r>
      <w:r>
        <w:rPr>
          <w:rFonts w:hint="eastAsia" w:ascii="微软雅黑" w:hAnsi="微软雅黑" w:eastAsia="微软雅黑" w:cs="微软雅黑"/>
          <w:kern w:val="0"/>
          <w:szCs w:val="21"/>
        </w:rPr>
        <w:t>万元，比上年增加</w:t>
      </w:r>
      <w:r>
        <w:rPr>
          <w:rFonts w:ascii="微软雅黑" w:hAnsi="微软雅黑" w:eastAsia="微软雅黑" w:cs="微软雅黑"/>
          <w:kern w:val="0"/>
          <w:szCs w:val="21"/>
        </w:rPr>
        <w:t>1,016</w:t>
      </w:r>
      <w:r>
        <w:rPr>
          <w:rFonts w:hint="eastAsia" w:ascii="微软雅黑" w:hAnsi="微软雅黑" w:eastAsia="微软雅黑" w:cs="微软雅黑"/>
          <w:kern w:val="0"/>
          <w:szCs w:val="21"/>
        </w:rPr>
        <w:t>万元；其他收入年初预算收入</w:t>
      </w:r>
      <w:r>
        <w:rPr>
          <w:rFonts w:ascii="微软雅黑" w:hAnsi="微软雅黑" w:eastAsia="微软雅黑" w:cs="微软雅黑"/>
          <w:kern w:val="0"/>
          <w:szCs w:val="21"/>
        </w:rPr>
        <w:t>158</w:t>
      </w:r>
      <w:r>
        <w:rPr>
          <w:rFonts w:hint="eastAsia" w:ascii="微软雅黑" w:hAnsi="微软雅黑" w:eastAsia="微软雅黑" w:cs="微软雅黑"/>
          <w:kern w:val="0"/>
          <w:szCs w:val="21"/>
        </w:rPr>
        <w:t>万元，比上年减少</w:t>
      </w:r>
      <w:r>
        <w:rPr>
          <w:rFonts w:ascii="微软雅黑" w:hAnsi="微软雅黑" w:eastAsia="微软雅黑" w:cs="微软雅黑"/>
          <w:kern w:val="0"/>
          <w:szCs w:val="21"/>
        </w:rPr>
        <w:t>402</w:t>
      </w:r>
      <w:r>
        <w:rPr>
          <w:rFonts w:hint="eastAsia" w:ascii="微软雅黑" w:hAnsi="微软雅黑" w:eastAsia="微软雅黑" w:cs="微软雅黑"/>
          <w:kern w:val="0"/>
          <w:szCs w:val="21"/>
        </w:rPr>
        <w:t>万元。年度执行中因单位人数变动及单位事权调整，预算跟随调整，主要变化是：收入调整预算数为</w:t>
      </w:r>
      <w:r>
        <w:rPr>
          <w:rFonts w:ascii="微软雅黑" w:hAnsi="微软雅黑" w:eastAsia="微软雅黑" w:cs="微软雅黑"/>
          <w:kern w:val="0"/>
          <w:szCs w:val="21"/>
        </w:rPr>
        <w:t>11,187</w:t>
      </w:r>
      <w:r>
        <w:rPr>
          <w:rFonts w:hint="eastAsia" w:ascii="微软雅黑" w:hAnsi="微软雅黑" w:eastAsia="微软雅黑" w:cs="微软雅黑"/>
          <w:kern w:val="0"/>
          <w:szCs w:val="21"/>
        </w:rPr>
        <w:t>万元。</w:t>
      </w:r>
    </w:p>
    <w:p>
      <w:pPr>
        <w:spacing w:line="520" w:lineRule="exact"/>
        <w:ind w:firstLine="420" w:firstLineChars="200"/>
        <w:rPr>
          <w:rFonts w:ascii="微软雅黑" w:hAnsi="微软雅黑" w:eastAsia="微软雅黑" w:cs="微软雅黑"/>
          <w:kern w:val="0"/>
          <w:szCs w:val="21"/>
        </w:rPr>
      </w:pPr>
      <w:r>
        <w:rPr>
          <w:rFonts w:ascii="微软雅黑" w:hAnsi="微软雅黑" w:eastAsia="微软雅黑" w:cs="微软雅黑"/>
          <w:kern w:val="0"/>
          <w:szCs w:val="21"/>
        </w:rPr>
        <w:t>2020</w:t>
      </w:r>
      <w:r>
        <w:rPr>
          <w:rFonts w:hint="eastAsia" w:ascii="微软雅黑" w:hAnsi="微软雅黑" w:eastAsia="微软雅黑" w:cs="微软雅黑"/>
          <w:kern w:val="0"/>
          <w:szCs w:val="21"/>
        </w:rPr>
        <w:t>年，本部门年初预算支出</w:t>
      </w:r>
      <w:r>
        <w:rPr>
          <w:rFonts w:ascii="微软雅黑" w:hAnsi="微软雅黑" w:eastAsia="微软雅黑" w:cs="微软雅黑"/>
          <w:kern w:val="0"/>
          <w:szCs w:val="21"/>
        </w:rPr>
        <w:t>16,934</w:t>
      </w:r>
      <w:r>
        <w:rPr>
          <w:rFonts w:hint="eastAsia" w:ascii="微软雅黑" w:hAnsi="微软雅黑" w:eastAsia="微软雅黑" w:cs="微软雅黑"/>
          <w:kern w:val="0"/>
          <w:szCs w:val="21"/>
        </w:rPr>
        <w:t>万元，比上年增加</w:t>
      </w:r>
      <w:r>
        <w:rPr>
          <w:rFonts w:ascii="微软雅黑" w:hAnsi="微软雅黑" w:eastAsia="微软雅黑" w:cs="微软雅黑"/>
          <w:kern w:val="0"/>
          <w:szCs w:val="21"/>
        </w:rPr>
        <w:t>12,533</w:t>
      </w:r>
      <w:r>
        <w:rPr>
          <w:rFonts w:hint="eastAsia" w:ascii="微软雅黑" w:hAnsi="微软雅黑" w:eastAsia="微软雅黑" w:cs="微软雅黑"/>
          <w:kern w:val="0"/>
          <w:szCs w:val="21"/>
        </w:rPr>
        <w:t>万元，增长</w:t>
      </w:r>
      <w:r>
        <w:rPr>
          <w:rFonts w:ascii="微软雅黑" w:hAnsi="微软雅黑" w:eastAsia="微软雅黑" w:cs="微软雅黑"/>
          <w:kern w:val="0"/>
          <w:szCs w:val="21"/>
        </w:rPr>
        <w:t>384.77%</w:t>
      </w:r>
      <w:r>
        <w:rPr>
          <w:rFonts w:hint="eastAsia" w:ascii="微软雅黑" w:hAnsi="微软雅黑" w:eastAsia="微软雅黑" w:cs="微软雅黑"/>
          <w:kern w:val="0"/>
          <w:szCs w:val="21"/>
        </w:rPr>
        <w:t>，增长变化的主要原因是：幼高专三校合并，资金相应汇总。其中：基本支出年初预算</w:t>
      </w:r>
      <w:r>
        <w:rPr>
          <w:rFonts w:ascii="微软雅黑" w:hAnsi="微软雅黑" w:eastAsia="微软雅黑" w:cs="微软雅黑"/>
          <w:kern w:val="0"/>
          <w:szCs w:val="21"/>
        </w:rPr>
        <w:t>8,840</w:t>
      </w:r>
      <w:r>
        <w:rPr>
          <w:rFonts w:hint="eastAsia" w:ascii="微软雅黑" w:hAnsi="微软雅黑" w:eastAsia="微软雅黑" w:cs="微软雅黑"/>
          <w:kern w:val="0"/>
          <w:szCs w:val="21"/>
        </w:rPr>
        <w:t>万元，比上年增加</w:t>
      </w:r>
      <w:r>
        <w:rPr>
          <w:rFonts w:ascii="微软雅黑" w:hAnsi="微软雅黑" w:eastAsia="微软雅黑" w:cs="微软雅黑"/>
          <w:kern w:val="0"/>
          <w:szCs w:val="21"/>
        </w:rPr>
        <w:t>5,836</w:t>
      </w:r>
      <w:r>
        <w:rPr>
          <w:rFonts w:hint="eastAsia" w:ascii="微软雅黑" w:hAnsi="微软雅黑" w:eastAsia="微软雅黑" w:cs="微软雅黑"/>
          <w:kern w:val="0"/>
          <w:szCs w:val="21"/>
        </w:rPr>
        <w:t>万元，增长2</w:t>
      </w:r>
      <w:r>
        <w:rPr>
          <w:rFonts w:ascii="微软雅黑" w:hAnsi="微软雅黑" w:eastAsia="微软雅黑" w:cs="微软雅黑"/>
          <w:kern w:val="0"/>
          <w:szCs w:val="21"/>
        </w:rPr>
        <w:t>94.27%</w:t>
      </w:r>
      <w:r>
        <w:rPr>
          <w:rFonts w:hint="eastAsia" w:ascii="微软雅黑" w:hAnsi="微软雅黑" w:eastAsia="微软雅黑" w:cs="微软雅黑"/>
          <w:kern w:val="0"/>
          <w:szCs w:val="21"/>
        </w:rPr>
        <w:t>；项目支出年初预算</w:t>
      </w:r>
      <w:r>
        <w:rPr>
          <w:rFonts w:ascii="微软雅黑" w:hAnsi="微软雅黑" w:eastAsia="微软雅黑" w:cs="微软雅黑"/>
          <w:kern w:val="0"/>
          <w:szCs w:val="21"/>
        </w:rPr>
        <w:t>8,094</w:t>
      </w:r>
      <w:r>
        <w:rPr>
          <w:rFonts w:hint="eastAsia" w:ascii="微软雅黑" w:hAnsi="微软雅黑" w:eastAsia="微软雅黑" w:cs="微软雅黑"/>
          <w:kern w:val="0"/>
          <w:szCs w:val="21"/>
        </w:rPr>
        <w:t>万元，比上年增减</w:t>
      </w:r>
      <w:r>
        <w:rPr>
          <w:rFonts w:ascii="微软雅黑" w:hAnsi="微软雅黑" w:eastAsia="微软雅黑" w:cs="微软雅黑"/>
          <w:kern w:val="0"/>
          <w:szCs w:val="21"/>
        </w:rPr>
        <w:t>6,697</w:t>
      </w:r>
      <w:r>
        <w:rPr>
          <w:rFonts w:hint="eastAsia" w:ascii="微软雅黑" w:hAnsi="微软雅黑" w:eastAsia="微软雅黑" w:cs="微软雅黑"/>
          <w:kern w:val="0"/>
          <w:szCs w:val="21"/>
        </w:rPr>
        <w:t>万元，增长</w:t>
      </w:r>
      <w:r>
        <w:rPr>
          <w:rFonts w:ascii="微软雅黑" w:hAnsi="微软雅黑" w:eastAsia="微软雅黑" w:cs="微软雅黑"/>
          <w:kern w:val="0"/>
          <w:szCs w:val="21"/>
        </w:rPr>
        <w:t>579.38%</w:t>
      </w:r>
      <w:r>
        <w:rPr>
          <w:rFonts w:hint="eastAsia" w:ascii="微软雅黑" w:hAnsi="微软雅黑" w:eastAsia="微软雅黑" w:cs="微软雅黑"/>
          <w:kern w:val="0"/>
          <w:szCs w:val="21"/>
        </w:rPr>
        <w:t>。年度执行中因单位人数变动及单位事权调整，预算跟随调整。</w:t>
      </w:r>
    </w:p>
    <w:p>
      <w:pPr>
        <w:spacing w:line="520" w:lineRule="exact"/>
        <w:ind w:firstLine="420" w:firstLineChars="200"/>
        <w:rPr>
          <w:rFonts w:ascii="微软雅黑" w:hAnsi="微软雅黑" w:eastAsia="微软雅黑" w:cs="微软雅黑"/>
          <w:kern w:val="0"/>
          <w:szCs w:val="21"/>
        </w:rPr>
      </w:pPr>
      <w:r>
        <w:rPr>
          <w:rFonts w:hint="eastAsia" w:ascii="微软雅黑" w:hAnsi="微软雅黑" w:eastAsia="微软雅黑" w:cs="微软雅黑"/>
          <w:kern w:val="0"/>
          <w:szCs w:val="21"/>
        </w:rPr>
        <w:t>（二）收入支出预算执行情况。</w:t>
      </w:r>
    </w:p>
    <w:p>
      <w:pPr>
        <w:spacing w:line="520" w:lineRule="exact"/>
        <w:ind w:firstLine="420" w:firstLineChars="200"/>
        <w:rPr>
          <w:rFonts w:ascii="微软雅黑" w:hAnsi="微软雅黑" w:eastAsia="微软雅黑" w:cs="微软雅黑"/>
          <w:kern w:val="0"/>
          <w:szCs w:val="21"/>
        </w:rPr>
      </w:pPr>
      <w:r>
        <w:rPr>
          <w:rFonts w:ascii="微软雅黑" w:hAnsi="微软雅黑" w:eastAsia="微软雅黑" w:cs="微软雅黑"/>
          <w:kern w:val="0"/>
          <w:szCs w:val="21"/>
        </w:rPr>
        <w:t>2020</w:t>
      </w:r>
      <w:r>
        <w:rPr>
          <w:rFonts w:hint="eastAsia" w:ascii="微软雅黑" w:hAnsi="微软雅黑" w:eastAsia="微软雅黑" w:cs="微软雅黑"/>
          <w:kern w:val="0"/>
          <w:szCs w:val="21"/>
        </w:rPr>
        <w:t>年收入实际完成</w:t>
      </w:r>
      <w:r>
        <w:rPr>
          <w:rFonts w:ascii="微软雅黑" w:hAnsi="微软雅黑" w:eastAsia="微软雅黑" w:cs="微软雅黑"/>
          <w:kern w:val="0"/>
          <w:szCs w:val="21"/>
        </w:rPr>
        <w:t>11,187</w:t>
      </w:r>
      <w:r>
        <w:rPr>
          <w:rFonts w:hint="eastAsia" w:ascii="微软雅黑" w:hAnsi="微软雅黑" w:eastAsia="微软雅黑" w:cs="微软雅黑"/>
          <w:kern w:val="0"/>
          <w:szCs w:val="21"/>
        </w:rPr>
        <w:t>万元，比上年减少</w:t>
      </w:r>
      <w:r>
        <w:rPr>
          <w:rFonts w:ascii="微软雅黑" w:hAnsi="微软雅黑" w:eastAsia="微软雅黑" w:cs="微软雅黑"/>
          <w:kern w:val="0"/>
          <w:szCs w:val="21"/>
        </w:rPr>
        <w:t>15,173</w:t>
      </w:r>
      <w:r>
        <w:rPr>
          <w:rFonts w:hint="eastAsia" w:ascii="微软雅黑" w:hAnsi="微软雅黑" w:eastAsia="微软雅黑" w:cs="微软雅黑"/>
          <w:kern w:val="0"/>
          <w:szCs w:val="21"/>
        </w:rPr>
        <w:t>万元，下降</w:t>
      </w:r>
      <w:r>
        <w:rPr>
          <w:rFonts w:ascii="微软雅黑" w:hAnsi="微软雅黑" w:eastAsia="微软雅黑" w:cs="微软雅黑"/>
          <w:kern w:val="0"/>
          <w:szCs w:val="21"/>
        </w:rPr>
        <w:t>57.56%</w:t>
      </w:r>
      <w:r>
        <w:rPr>
          <w:rFonts w:hint="eastAsia" w:ascii="微软雅黑" w:hAnsi="微软雅黑" w:eastAsia="微软雅黑" w:cs="微软雅黑"/>
          <w:kern w:val="0"/>
          <w:szCs w:val="21"/>
        </w:rPr>
        <w:t>。主要原因是：上年度下拨了幼高专建设资金。其中：一般公共预算财政拨款收入完成</w:t>
      </w:r>
      <w:r>
        <w:rPr>
          <w:rFonts w:ascii="微软雅黑" w:hAnsi="微软雅黑" w:eastAsia="微软雅黑" w:cs="微软雅黑"/>
          <w:kern w:val="0"/>
          <w:szCs w:val="21"/>
        </w:rPr>
        <w:t>8,514</w:t>
      </w:r>
      <w:r>
        <w:rPr>
          <w:rFonts w:hint="eastAsia" w:ascii="微软雅黑" w:hAnsi="微软雅黑" w:eastAsia="微软雅黑" w:cs="微软雅黑"/>
          <w:kern w:val="0"/>
          <w:szCs w:val="21"/>
        </w:rPr>
        <w:t>万元，比上年增加</w:t>
      </w:r>
      <w:r>
        <w:rPr>
          <w:rFonts w:ascii="微软雅黑" w:hAnsi="微软雅黑" w:eastAsia="微软雅黑" w:cs="微软雅黑"/>
          <w:kern w:val="0"/>
          <w:szCs w:val="21"/>
        </w:rPr>
        <w:t>3,759</w:t>
      </w:r>
      <w:r>
        <w:rPr>
          <w:rFonts w:hint="eastAsia" w:ascii="微软雅黑" w:hAnsi="微软雅黑" w:eastAsia="微软雅黑" w:cs="微软雅黑"/>
          <w:kern w:val="0"/>
          <w:szCs w:val="21"/>
        </w:rPr>
        <w:t>万元，增长</w:t>
      </w:r>
      <w:r>
        <w:rPr>
          <w:rFonts w:ascii="微软雅黑" w:hAnsi="微软雅黑" w:eastAsia="微软雅黑" w:cs="微软雅黑"/>
          <w:kern w:val="0"/>
          <w:szCs w:val="21"/>
        </w:rPr>
        <w:t>179.05%</w:t>
      </w:r>
      <w:r>
        <w:rPr>
          <w:rFonts w:hint="eastAsia" w:ascii="微软雅黑" w:hAnsi="微软雅黑" w:eastAsia="微软雅黑" w:cs="微软雅黑"/>
          <w:kern w:val="0"/>
          <w:szCs w:val="21"/>
        </w:rPr>
        <w:t>，变化的主要原因是：幼高专三校合并，资金相应汇总；政府性基金财政拨款收入完成</w:t>
      </w:r>
      <w:r>
        <w:rPr>
          <w:rFonts w:ascii="微软雅黑" w:hAnsi="微软雅黑" w:eastAsia="微软雅黑" w:cs="微软雅黑"/>
          <w:kern w:val="0"/>
          <w:szCs w:val="21"/>
        </w:rPr>
        <w:t>0</w:t>
      </w:r>
      <w:r>
        <w:rPr>
          <w:rFonts w:hint="eastAsia" w:ascii="微软雅黑" w:hAnsi="微软雅黑" w:eastAsia="微软雅黑" w:cs="微软雅黑"/>
          <w:kern w:val="0"/>
          <w:szCs w:val="21"/>
        </w:rPr>
        <w:t>万元，比上年减少</w:t>
      </w:r>
      <w:r>
        <w:rPr>
          <w:rFonts w:ascii="微软雅黑" w:hAnsi="微软雅黑" w:eastAsia="微软雅黑" w:cs="微软雅黑"/>
          <w:kern w:val="0"/>
          <w:szCs w:val="21"/>
        </w:rPr>
        <w:t>20,000</w:t>
      </w:r>
      <w:r>
        <w:rPr>
          <w:rFonts w:hint="eastAsia" w:ascii="微软雅黑" w:hAnsi="微软雅黑" w:eastAsia="微软雅黑" w:cs="微软雅黑"/>
          <w:kern w:val="0"/>
          <w:szCs w:val="21"/>
        </w:rPr>
        <w:t>万元，下降</w:t>
      </w:r>
      <w:r>
        <w:rPr>
          <w:rFonts w:ascii="微软雅黑" w:hAnsi="微软雅黑" w:eastAsia="微软雅黑" w:cs="微软雅黑"/>
          <w:kern w:val="0"/>
          <w:szCs w:val="21"/>
        </w:rPr>
        <w:t>100%</w:t>
      </w:r>
      <w:r>
        <w:rPr>
          <w:rFonts w:hint="eastAsia" w:ascii="微软雅黑" w:hAnsi="微软雅黑" w:eastAsia="微软雅黑" w:cs="微软雅黑"/>
          <w:kern w:val="0"/>
          <w:szCs w:val="21"/>
        </w:rPr>
        <w:t>，变化的主要原因是：本年度未下拨政府基金拨款；事业收入完成</w:t>
      </w:r>
      <w:r>
        <w:rPr>
          <w:rFonts w:ascii="微软雅黑" w:hAnsi="微软雅黑" w:eastAsia="微软雅黑" w:cs="微软雅黑"/>
          <w:kern w:val="0"/>
          <w:szCs w:val="21"/>
        </w:rPr>
        <w:t>2,515</w:t>
      </w:r>
      <w:r>
        <w:rPr>
          <w:rFonts w:hint="eastAsia" w:ascii="微软雅黑" w:hAnsi="微软雅黑" w:eastAsia="微软雅黑" w:cs="微软雅黑"/>
          <w:kern w:val="0"/>
          <w:szCs w:val="21"/>
        </w:rPr>
        <w:t>万元，比上年增加</w:t>
      </w:r>
      <w:r>
        <w:rPr>
          <w:rFonts w:ascii="微软雅黑" w:hAnsi="微软雅黑" w:eastAsia="微软雅黑" w:cs="微软雅黑"/>
          <w:kern w:val="0"/>
          <w:szCs w:val="21"/>
        </w:rPr>
        <w:t>915</w:t>
      </w:r>
      <w:r>
        <w:rPr>
          <w:rFonts w:hint="eastAsia" w:ascii="微软雅黑" w:hAnsi="微软雅黑" w:eastAsia="微软雅黑" w:cs="微软雅黑"/>
          <w:kern w:val="0"/>
          <w:szCs w:val="21"/>
        </w:rPr>
        <w:t>万元，增长</w:t>
      </w:r>
      <w:r>
        <w:rPr>
          <w:rFonts w:ascii="微软雅黑" w:hAnsi="微软雅黑" w:eastAsia="微软雅黑" w:cs="微软雅黑"/>
          <w:kern w:val="0"/>
          <w:szCs w:val="21"/>
        </w:rPr>
        <w:t>57.17%</w:t>
      </w:r>
      <w:r>
        <w:rPr>
          <w:rFonts w:hint="eastAsia" w:ascii="微软雅黑" w:hAnsi="微软雅黑" w:eastAsia="微软雅黑" w:cs="微软雅黑"/>
          <w:kern w:val="0"/>
          <w:szCs w:val="21"/>
        </w:rPr>
        <w:t>，变化的主要原因是：幼高专三校合并，资金相应汇总；其他收入完成</w:t>
      </w:r>
      <w:r>
        <w:rPr>
          <w:rFonts w:ascii="微软雅黑" w:hAnsi="微软雅黑" w:eastAsia="微软雅黑" w:cs="微软雅黑"/>
          <w:kern w:val="0"/>
          <w:szCs w:val="21"/>
        </w:rPr>
        <w:t>158</w:t>
      </w:r>
      <w:r>
        <w:rPr>
          <w:rFonts w:hint="eastAsia" w:ascii="微软雅黑" w:hAnsi="微软雅黑" w:eastAsia="微软雅黑" w:cs="微软雅黑"/>
          <w:kern w:val="0"/>
          <w:szCs w:val="21"/>
        </w:rPr>
        <w:t>万元，比上年增加</w:t>
      </w:r>
      <w:r>
        <w:rPr>
          <w:rFonts w:ascii="微软雅黑" w:hAnsi="微软雅黑" w:eastAsia="微软雅黑" w:cs="微软雅黑"/>
          <w:kern w:val="0"/>
          <w:szCs w:val="21"/>
        </w:rPr>
        <w:t>153</w:t>
      </w:r>
      <w:r>
        <w:rPr>
          <w:rFonts w:hint="eastAsia" w:ascii="微软雅黑" w:hAnsi="微软雅黑" w:eastAsia="微软雅黑" w:cs="微软雅黑"/>
          <w:kern w:val="0"/>
          <w:szCs w:val="21"/>
        </w:rPr>
        <w:t>万元，增长</w:t>
      </w:r>
      <w:r>
        <w:rPr>
          <w:rFonts w:ascii="微软雅黑" w:hAnsi="微软雅黑" w:eastAsia="微软雅黑" w:cs="微软雅黑"/>
          <w:kern w:val="0"/>
          <w:szCs w:val="21"/>
        </w:rPr>
        <w:t>3160%</w:t>
      </w:r>
      <w:r>
        <w:rPr>
          <w:rFonts w:hint="eastAsia" w:ascii="微软雅黑" w:hAnsi="微软雅黑" w:eastAsia="微软雅黑" w:cs="微软雅黑"/>
          <w:kern w:val="0"/>
          <w:szCs w:val="21"/>
        </w:rPr>
        <w:t>，变化的主要原因是：幼高专三校合并，资金相应汇总。</w:t>
      </w:r>
    </w:p>
    <w:p>
      <w:pPr>
        <w:spacing w:line="520" w:lineRule="exact"/>
        <w:ind w:firstLine="420" w:firstLineChars="200"/>
        <w:rPr>
          <w:rFonts w:ascii="微软雅黑" w:hAnsi="微软雅黑" w:eastAsia="微软雅黑" w:cs="微软雅黑"/>
          <w:kern w:val="0"/>
          <w:szCs w:val="21"/>
        </w:rPr>
      </w:pPr>
      <w:r>
        <w:rPr>
          <w:rFonts w:ascii="微软雅黑" w:hAnsi="微软雅黑" w:eastAsia="微软雅黑" w:cs="微软雅黑"/>
          <w:kern w:val="0"/>
          <w:szCs w:val="21"/>
        </w:rPr>
        <w:t>2020</w:t>
      </w:r>
      <w:r>
        <w:rPr>
          <w:rFonts w:hint="eastAsia" w:ascii="微软雅黑" w:hAnsi="微软雅黑" w:eastAsia="微软雅黑" w:cs="微软雅黑"/>
          <w:kern w:val="0"/>
          <w:szCs w:val="21"/>
        </w:rPr>
        <w:t>年，本部门支出</w:t>
      </w:r>
      <w:r>
        <w:rPr>
          <w:rFonts w:ascii="微软雅黑" w:hAnsi="微软雅黑" w:eastAsia="微软雅黑" w:cs="微软雅黑"/>
          <w:kern w:val="0"/>
          <w:szCs w:val="21"/>
        </w:rPr>
        <w:t>16,934</w:t>
      </w:r>
      <w:r>
        <w:rPr>
          <w:rFonts w:hint="eastAsia" w:ascii="微软雅黑" w:hAnsi="微软雅黑" w:eastAsia="微软雅黑" w:cs="微软雅黑"/>
          <w:kern w:val="0"/>
          <w:szCs w:val="21"/>
        </w:rPr>
        <w:t>万元，比上年减少</w:t>
      </w:r>
      <w:r>
        <w:rPr>
          <w:rFonts w:ascii="微软雅黑" w:hAnsi="微软雅黑" w:eastAsia="微软雅黑" w:cs="微软雅黑"/>
          <w:kern w:val="0"/>
          <w:szCs w:val="21"/>
        </w:rPr>
        <w:t>2,882</w:t>
      </w:r>
      <w:r>
        <w:rPr>
          <w:rFonts w:hint="eastAsia" w:ascii="微软雅黑" w:hAnsi="微软雅黑" w:eastAsia="微软雅黑" w:cs="微软雅黑"/>
          <w:kern w:val="0"/>
          <w:szCs w:val="21"/>
        </w:rPr>
        <w:t>万元，下降</w:t>
      </w:r>
      <w:r>
        <w:rPr>
          <w:rFonts w:ascii="微软雅黑" w:hAnsi="微软雅黑" w:eastAsia="微软雅黑" w:cs="微软雅黑"/>
          <w:kern w:val="0"/>
          <w:szCs w:val="21"/>
        </w:rPr>
        <w:t>14.54%</w:t>
      </w:r>
      <w:r>
        <w:rPr>
          <w:rFonts w:hint="eastAsia" w:ascii="微软雅黑" w:hAnsi="微软雅黑" w:eastAsia="微软雅黑" w:cs="微软雅黑"/>
          <w:kern w:val="0"/>
          <w:szCs w:val="21"/>
        </w:rPr>
        <w:t>；变化的主要原因：上年度下拨了幼高专建设资金。其中：基本支出完成</w:t>
      </w:r>
      <w:r>
        <w:rPr>
          <w:rFonts w:ascii="微软雅黑" w:hAnsi="微软雅黑" w:eastAsia="微软雅黑" w:cs="微软雅黑"/>
          <w:kern w:val="0"/>
          <w:szCs w:val="21"/>
        </w:rPr>
        <w:t>8,840</w:t>
      </w:r>
      <w:r>
        <w:rPr>
          <w:rFonts w:hint="eastAsia" w:ascii="微软雅黑" w:hAnsi="微软雅黑" w:eastAsia="微软雅黑" w:cs="微软雅黑"/>
          <w:kern w:val="0"/>
          <w:szCs w:val="21"/>
        </w:rPr>
        <w:t>万元，比上年增加</w:t>
      </w:r>
      <w:r>
        <w:rPr>
          <w:rFonts w:ascii="微软雅黑" w:hAnsi="微软雅黑" w:eastAsia="微软雅黑" w:cs="微软雅黑"/>
          <w:kern w:val="0"/>
          <w:szCs w:val="21"/>
        </w:rPr>
        <w:t>3,534</w:t>
      </w:r>
      <w:r>
        <w:rPr>
          <w:rFonts w:hint="eastAsia" w:ascii="微软雅黑" w:hAnsi="微软雅黑" w:eastAsia="微软雅黑" w:cs="微软雅黑"/>
          <w:kern w:val="0"/>
          <w:szCs w:val="21"/>
        </w:rPr>
        <w:t>万元，增长</w:t>
      </w:r>
      <w:r>
        <w:rPr>
          <w:rFonts w:ascii="微软雅黑" w:hAnsi="微软雅黑" w:eastAsia="微软雅黑" w:cs="微软雅黑"/>
          <w:kern w:val="0"/>
          <w:szCs w:val="21"/>
        </w:rPr>
        <w:t>66.6%</w:t>
      </w:r>
      <w:r>
        <w:rPr>
          <w:rFonts w:hint="eastAsia" w:ascii="微软雅黑" w:hAnsi="微软雅黑" w:eastAsia="微软雅黑" w:cs="微软雅黑"/>
          <w:kern w:val="0"/>
          <w:szCs w:val="21"/>
        </w:rPr>
        <w:t>，变化的主要原因：幼高专三校合并，资金相应汇总。项目支出</w:t>
      </w:r>
      <w:r>
        <w:rPr>
          <w:rFonts w:ascii="微软雅黑" w:hAnsi="微软雅黑" w:eastAsia="微软雅黑" w:cs="微软雅黑"/>
          <w:kern w:val="0"/>
          <w:szCs w:val="21"/>
        </w:rPr>
        <w:t>8,094</w:t>
      </w:r>
      <w:r>
        <w:rPr>
          <w:rFonts w:hint="eastAsia" w:ascii="微软雅黑" w:hAnsi="微软雅黑" w:eastAsia="微软雅黑" w:cs="微软雅黑"/>
          <w:kern w:val="0"/>
          <w:szCs w:val="21"/>
        </w:rPr>
        <w:t>万元，比上年减少</w:t>
      </w:r>
      <w:r>
        <w:rPr>
          <w:rFonts w:ascii="微软雅黑" w:hAnsi="微软雅黑" w:eastAsia="微软雅黑" w:cs="微软雅黑"/>
          <w:kern w:val="0"/>
          <w:szCs w:val="21"/>
        </w:rPr>
        <w:t>6,416</w:t>
      </w:r>
      <w:r>
        <w:rPr>
          <w:rFonts w:hint="eastAsia" w:ascii="微软雅黑" w:hAnsi="微软雅黑" w:eastAsia="微软雅黑" w:cs="微软雅黑"/>
          <w:kern w:val="0"/>
          <w:szCs w:val="21"/>
        </w:rPr>
        <w:t>万元，下降</w:t>
      </w:r>
      <w:r>
        <w:rPr>
          <w:rFonts w:ascii="微软雅黑" w:hAnsi="微软雅黑" w:eastAsia="微软雅黑" w:cs="微软雅黑"/>
          <w:kern w:val="0"/>
          <w:szCs w:val="21"/>
        </w:rPr>
        <w:t>44.22%</w:t>
      </w:r>
      <w:r>
        <w:rPr>
          <w:rFonts w:hint="eastAsia" w:ascii="微软雅黑" w:hAnsi="微软雅黑" w:eastAsia="微软雅黑" w:cs="微软雅黑"/>
          <w:kern w:val="0"/>
          <w:szCs w:val="21"/>
        </w:rPr>
        <w:t>；变化的主要原因：上年度下拨了幼高专建设资金。人员经费完成</w:t>
      </w:r>
      <w:r>
        <w:rPr>
          <w:rFonts w:ascii="微软雅黑" w:hAnsi="微软雅黑" w:eastAsia="微软雅黑" w:cs="微软雅黑"/>
          <w:kern w:val="0"/>
          <w:szCs w:val="21"/>
        </w:rPr>
        <w:t>7,261</w:t>
      </w:r>
      <w:r>
        <w:rPr>
          <w:rFonts w:hint="eastAsia" w:ascii="微软雅黑" w:hAnsi="微软雅黑" w:eastAsia="微软雅黑" w:cs="微软雅黑"/>
          <w:kern w:val="0"/>
          <w:szCs w:val="21"/>
        </w:rPr>
        <w:t>万元，比上年增加</w:t>
      </w:r>
      <w:r>
        <w:rPr>
          <w:rFonts w:ascii="微软雅黑" w:hAnsi="微软雅黑" w:eastAsia="微软雅黑" w:cs="微软雅黑"/>
          <w:kern w:val="0"/>
          <w:szCs w:val="21"/>
        </w:rPr>
        <w:t>4,000</w:t>
      </w:r>
      <w:r>
        <w:rPr>
          <w:rFonts w:hint="eastAsia" w:ascii="微软雅黑" w:hAnsi="微软雅黑" w:eastAsia="微软雅黑" w:cs="微软雅黑"/>
          <w:kern w:val="0"/>
          <w:szCs w:val="21"/>
        </w:rPr>
        <w:t>万元，增长</w:t>
      </w:r>
      <w:r>
        <w:rPr>
          <w:rFonts w:ascii="微软雅黑" w:hAnsi="微软雅黑" w:eastAsia="微软雅黑" w:cs="微软雅黑"/>
          <w:kern w:val="0"/>
          <w:szCs w:val="21"/>
        </w:rPr>
        <w:t>122.67%</w:t>
      </w:r>
      <w:r>
        <w:rPr>
          <w:rFonts w:hint="eastAsia" w:ascii="微软雅黑" w:hAnsi="微软雅黑" w:eastAsia="微软雅黑" w:cs="微软雅黑"/>
          <w:kern w:val="0"/>
          <w:szCs w:val="21"/>
        </w:rPr>
        <w:t>，变化的主要原因：幼高专三校合并，资金相应汇总；公用经费完成</w:t>
      </w:r>
      <w:r>
        <w:rPr>
          <w:rFonts w:ascii="微软雅黑" w:hAnsi="微软雅黑" w:eastAsia="微软雅黑" w:cs="微软雅黑"/>
          <w:kern w:val="0"/>
          <w:szCs w:val="21"/>
        </w:rPr>
        <w:t>1,579</w:t>
      </w:r>
      <w:r>
        <w:rPr>
          <w:rFonts w:hint="eastAsia" w:ascii="微软雅黑" w:hAnsi="微软雅黑" w:eastAsia="微软雅黑" w:cs="微软雅黑"/>
          <w:kern w:val="0"/>
          <w:szCs w:val="21"/>
        </w:rPr>
        <w:t>万元，比上年减少</w:t>
      </w:r>
      <w:r>
        <w:rPr>
          <w:rFonts w:ascii="微软雅黑" w:hAnsi="微软雅黑" w:eastAsia="微软雅黑" w:cs="微软雅黑"/>
          <w:kern w:val="0"/>
          <w:szCs w:val="21"/>
        </w:rPr>
        <w:t>466</w:t>
      </w:r>
      <w:r>
        <w:rPr>
          <w:rFonts w:hint="eastAsia" w:ascii="微软雅黑" w:hAnsi="微软雅黑" w:eastAsia="微软雅黑" w:cs="微软雅黑"/>
          <w:kern w:val="0"/>
          <w:szCs w:val="21"/>
        </w:rPr>
        <w:t>万元，下降</w:t>
      </w:r>
      <w:r>
        <w:rPr>
          <w:rFonts w:ascii="微软雅黑" w:hAnsi="微软雅黑" w:eastAsia="微软雅黑" w:cs="微软雅黑"/>
          <w:kern w:val="0"/>
          <w:szCs w:val="21"/>
        </w:rPr>
        <w:t>22.78%</w:t>
      </w:r>
      <w:r>
        <w:rPr>
          <w:rFonts w:hint="eastAsia" w:ascii="微软雅黑" w:hAnsi="微软雅黑" w:eastAsia="微软雅黑" w:cs="微软雅黑"/>
          <w:kern w:val="0"/>
          <w:szCs w:val="21"/>
        </w:rPr>
        <w:t>，变化的主要原因：上年度下拨了幼高专建设资金。</w:t>
      </w:r>
    </w:p>
    <w:p>
      <w:pPr>
        <w:spacing w:line="520" w:lineRule="exact"/>
        <w:ind w:firstLine="420" w:firstLineChars="200"/>
        <w:rPr>
          <w:rFonts w:ascii="微软雅黑" w:hAnsi="微软雅黑" w:eastAsia="微软雅黑" w:cs="微软雅黑"/>
          <w:kern w:val="0"/>
          <w:szCs w:val="21"/>
        </w:rPr>
      </w:pPr>
      <w:r>
        <w:rPr>
          <w:rFonts w:hint="eastAsia" w:ascii="微软雅黑" w:hAnsi="微软雅黑" w:eastAsia="微软雅黑" w:cs="微软雅黑"/>
          <w:kern w:val="0"/>
          <w:szCs w:val="21"/>
        </w:rPr>
        <w:t>（三）支出按经济分类科目分析。</w:t>
      </w:r>
    </w:p>
    <w:p>
      <w:pPr>
        <w:spacing w:line="520" w:lineRule="exact"/>
        <w:ind w:firstLine="420" w:firstLineChars="200"/>
        <w:rPr>
          <w:rFonts w:ascii="微软雅黑" w:hAnsi="微软雅黑" w:eastAsia="微软雅黑" w:cs="微软雅黑"/>
          <w:kern w:val="0"/>
          <w:szCs w:val="21"/>
        </w:rPr>
      </w:pPr>
      <w:r>
        <w:rPr>
          <w:rFonts w:hint="eastAsia" w:ascii="微软雅黑" w:hAnsi="微软雅黑" w:eastAsia="微软雅黑" w:cs="微软雅黑"/>
          <w:kern w:val="0"/>
          <w:szCs w:val="21"/>
        </w:rPr>
        <w:t>（</w:t>
      </w:r>
      <w:r>
        <w:rPr>
          <w:rFonts w:ascii="微软雅黑" w:hAnsi="微软雅黑" w:eastAsia="微软雅黑" w:cs="微软雅黑"/>
          <w:kern w:val="0"/>
          <w:szCs w:val="21"/>
        </w:rPr>
        <w:t>1</w:t>
      </w:r>
      <w:r>
        <w:rPr>
          <w:rFonts w:hint="eastAsia" w:ascii="微软雅黑" w:hAnsi="微软雅黑" w:eastAsia="微软雅黑" w:cs="微软雅黑"/>
          <w:kern w:val="0"/>
          <w:szCs w:val="21"/>
        </w:rPr>
        <w:t>）</w:t>
      </w:r>
      <w:r>
        <w:rPr>
          <w:rFonts w:ascii="微软雅黑" w:hAnsi="微软雅黑" w:eastAsia="微软雅黑" w:cs="微软雅黑"/>
          <w:kern w:val="0"/>
          <w:szCs w:val="21"/>
        </w:rPr>
        <w:t>“</w:t>
      </w:r>
      <w:r>
        <w:rPr>
          <w:rFonts w:hint="eastAsia" w:ascii="微软雅黑" w:hAnsi="微软雅黑" w:eastAsia="微软雅黑" w:cs="微软雅黑"/>
          <w:kern w:val="0"/>
          <w:szCs w:val="21"/>
        </w:rPr>
        <w:t>三公</w:t>
      </w:r>
      <w:r>
        <w:rPr>
          <w:rFonts w:ascii="微软雅黑" w:hAnsi="微软雅黑" w:eastAsia="微软雅黑" w:cs="微软雅黑"/>
          <w:kern w:val="0"/>
          <w:szCs w:val="21"/>
        </w:rPr>
        <w:t>”</w:t>
      </w:r>
      <w:r>
        <w:rPr>
          <w:rFonts w:hint="eastAsia" w:ascii="微软雅黑" w:hAnsi="微软雅黑" w:eastAsia="微软雅黑" w:cs="微软雅黑"/>
          <w:kern w:val="0"/>
          <w:szCs w:val="21"/>
        </w:rPr>
        <w:t>经费支出情况：</w:t>
      </w:r>
      <w:r>
        <w:rPr>
          <w:rFonts w:ascii="微软雅黑" w:hAnsi="微软雅黑" w:eastAsia="微软雅黑" w:cs="微软雅黑"/>
          <w:kern w:val="0"/>
          <w:szCs w:val="21"/>
        </w:rPr>
        <w:t>2020</w:t>
      </w:r>
      <w:r>
        <w:rPr>
          <w:rFonts w:hint="eastAsia" w:ascii="微软雅黑" w:hAnsi="微软雅黑" w:eastAsia="微软雅黑" w:cs="微软雅黑"/>
          <w:kern w:val="0"/>
          <w:szCs w:val="21"/>
        </w:rPr>
        <w:t>年，</w:t>
      </w:r>
      <w:r>
        <w:rPr>
          <w:rFonts w:ascii="微软雅黑" w:hAnsi="微软雅黑" w:eastAsia="微软雅黑" w:cs="微软雅黑"/>
          <w:kern w:val="0"/>
          <w:szCs w:val="21"/>
        </w:rPr>
        <w:t>“</w:t>
      </w:r>
      <w:r>
        <w:rPr>
          <w:rFonts w:hint="eastAsia" w:ascii="微软雅黑" w:hAnsi="微软雅黑" w:eastAsia="微软雅黑" w:cs="微软雅黑"/>
          <w:kern w:val="0"/>
          <w:szCs w:val="21"/>
        </w:rPr>
        <w:t>三公</w:t>
      </w:r>
      <w:r>
        <w:rPr>
          <w:rFonts w:ascii="微软雅黑" w:hAnsi="微软雅黑" w:eastAsia="微软雅黑" w:cs="微软雅黑"/>
          <w:kern w:val="0"/>
          <w:szCs w:val="21"/>
        </w:rPr>
        <w:t>”</w:t>
      </w:r>
      <w:r>
        <w:rPr>
          <w:rFonts w:hint="eastAsia" w:ascii="微软雅黑" w:hAnsi="微软雅黑" w:eastAsia="微软雅黑" w:cs="微软雅黑"/>
          <w:kern w:val="0"/>
          <w:szCs w:val="21"/>
        </w:rPr>
        <w:t>经费完成</w:t>
      </w:r>
      <w:r>
        <w:rPr>
          <w:rFonts w:ascii="微软雅黑" w:hAnsi="微软雅黑" w:eastAsia="微软雅黑" w:cs="微软雅黑"/>
          <w:kern w:val="0"/>
          <w:szCs w:val="21"/>
        </w:rPr>
        <w:t>32,724</w:t>
      </w:r>
      <w:r>
        <w:rPr>
          <w:rFonts w:hint="eastAsia" w:ascii="微软雅黑" w:hAnsi="微软雅黑" w:eastAsia="微软雅黑" w:cs="微软雅黑"/>
          <w:kern w:val="0"/>
          <w:szCs w:val="21"/>
        </w:rPr>
        <w:t>元，比上年减少</w:t>
      </w:r>
      <w:r>
        <w:rPr>
          <w:rFonts w:ascii="微软雅黑" w:hAnsi="微软雅黑" w:eastAsia="微软雅黑" w:cs="微软雅黑"/>
          <w:kern w:val="0"/>
          <w:szCs w:val="21"/>
        </w:rPr>
        <w:t>19,733.93</w:t>
      </w:r>
      <w:r>
        <w:rPr>
          <w:rFonts w:hint="eastAsia" w:ascii="微软雅黑" w:hAnsi="微软雅黑" w:eastAsia="微软雅黑" w:cs="微软雅黑"/>
          <w:kern w:val="0"/>
          <w:szCs w:val="21"/>
        </w:rPr>
        <w:t>元，下降</w:t>
      </w:r>
      <w:r>
        <w:rPr>
          <w:rFonts w:ascii="微软雅黑" w:hAnsi="微软雅黑" w:eastAsia="微软雅黑" w:cs="微软雅黑"/>
          <w:kern w:val="0"/>
          <w:szCs w:val="21"/>
        </w:rPr>
        <w:t>37.62%</w:t>
      </w:r>
      <w:r>
        <w:rPr>
          <w:rFonts w:hint="eastAsia" w:ascii="微软雅黑" w:hAnsi="微软雅黑" w:eastAsia="微软雅黑" w:cs="微软雅黑"/>
          <w:kern w:val="0"/>
          <w:szCs w:val="21"/>
        </w:rPr>
        <w:t>，增减变化的主要原因是：受疫情影响，本年度厉行节约。其中：公务接待费完成</w:t>
      </w:r>
      <w:r>
        <w:rPr>
          <w:rFonts w:ascii="微软雅黑" w:hAnsi="微软雅黑" w:eastAsia="微软雅黑" w:cs="微软雅黑"/>
          <w:kern w:val="0"/>
          <w:szCs w:val="21"/>
        </w:rPr>
        <w:t>25,948</w:t>
      </w:r>
      <w:r>
        <w:rPr>
          <w:rFonts w:hint="eastAsia" w:ascii="微软雅黑" w:hAnsi="微软雅黑" w:eastAsia="微软雅黑" w:cs="微软雅黑"/>
          <w:kern w:val="0"/>
          <w:szCs w:val="21"/>
        </w:rPr>
        <w:t>元，比上年增加</w:t>
      </w:r>
      <w:r>
        <w:rPr>
          <w:rFonts w:ascii="微软雅黑" w:hAnsi="微软雅黑" w:eastAsia="微软雅黑" w:cs="微软雅黑"/>
          <w:kern w:val="0"/>
          <w:szCs w:val="21"/>
        </w:rPr>
        <w:t>8,412.1</w:t>
      </w:r>
      <w:r>
        <w:rPr>
          <w:rFonts w:hint="eastAsia" w:ascii="微软雅黑" w:hAnsi="微软雅黑" w:eastAsia="微软雅黑" w:cs="微软雅黑"/>
          <w:kern w:val="0"/>
          <w:szCs w:val="21"/>
        </w:rPr>
        <w:t>元，增长</w:t>
      </w:r>
      <w:r>
        <w:rPr>
          <w:rFonts w:ascii="微软雅黑" w:hAnsi="微软雅黑" w:eastAsia="微软雅黑" w:cs="微软雅黑"/>
          <w:kern w:val="0"/>
          <w:szCs w:val="21"/>
        </w:rPr>
        <w:t>47.97%</w:t>
      </w:r>
      <w:r>
        <w:rPr>
          <w:rFonts w:hint="eastAsia" w:ascii="微软雅黑" w:hAnsi="微软雅黑" w:eastAsia="微软雅黑" w:cs="微软雅黑"/>
          <w:kern w:val="0"/>
          <w:szCs w:val="21"/>
        </w:rPr>
        <w:t>，增长变化的主要原因是：幼高专三校合并，资金相应汇总；公务用车购置及运行维护费完成</w:t>
      </w:r>
      <w:r>
        <w:rPr>
          <w:rFonts w:ascii="微软雅黑" w:hAnsi="微软雅黑" w:eastAsia="微软雅黑" w:cs="微软雅黑"/>
          <w:kern w:val="0"/>
          <w:szCs w:val="21"/>
        </w:rPr>
        <w:t>6,776</w:t>
      </w:r>
      <w:r>
        <w:rPr>
          <w:rFonts w:hint="eastAsia" w:ascii="微软雅黑" w:hAnsi="微软雅黑" w:eastAsia="微软雅黑" w:cs="微软雅黑"/>
          <w:kern w:val="0"/>
          <w:szCs w:val="21"/>
        </w:rPr>
        <w:t>元，比上年减少</w:t>
      </w:r>
      <w:r>
        <w:rPr>
          <w:rFonts w:ascii="微软雅黑" w:hAnsi="微软雅黑" w:eastAsia="微软雅黑" w:cs="微软雅黑"/>
          <w:kern w:val="0"/>
          <w:szCs w:val="21"/>
        </w:rPr>
        <w:t>28,146.03</w:t>
      </w:r>
      <w:r>
        <w:rPr>
          <w:rFonts w:hint="eastAsia" w:ascii="微软雅黑" w:hAnsi="微软雅黑" w:eastAsia="微软雅黑" w:cs="微软雅黑"/>
          <w:kern w:val="0"/>
          <w:szCs w:val="21"/>
        </w:rPr>
        <w:t>元，下降</w:t>
      </w:r>
      <w:r>
        <w:rPr>
          <w:rFonts w:ascii="微软雅黑" w:hAnsi="微软雅黑" w:eastAsia="微软雅黑" w:cs="微软雅黑"/>
          <w:kern w:val="0"/>
          <w:szCs w:val="21"/>
        </w:rPr>
        <w:t>80.6%</w:t>
      </w:r>
      <w:r>
        <w:rPr>
          <w:rFonts w:hint="eastAsia" w:ascii="微软雅黑" w:hAnsi="微软雅黑" w:eastAsia="微软雅黑" w:cs="微软雅黑"/>
          <w:kern w:val="0"/>
          <w:szCs w:val="21"/>
        </w:rPr>
        <w:t>，增减变化的主要原因是：公车改革，公车进行了处置。</w:t>
      </w:r>
    </w:p>
    <w:p>
      <w:pPr>
        <w:spacing w:line="520" w:lineRule="exact"/>
        <w:ind w:firstLine="640"/>
        <w:rPr>
          <w:rFonts w:ascii="微软雅黑" w:hAnsi="微软雅黑" w:eastAsia="微软雅黑" w:cs="微软雅黑"/>
          <w:kern w:val="0"/>
          <w:szCs w:val="21"/>
        </w:rPr>
      </w:pPr>
    </w:p>
    <w:p>
      <w:pPr>
        <w:spacing w:line="520" w:lineRule="exact"/>
        <w:ind w:firstLine="420" w:firstLineChars="200"/>
        <w:rPr>
          <w:rFonts w:ascii="微软雅黑" w:hAnsi="微软雅黑" w:eastAsia="微软雅黑" w:cs="微软雅黑"/>
          <w:kern w:val="0"/>
          <w:szCs w:val="21"/>
        </w:rPr>
      </w:pPr>
      <w:r>
        <w:rPr>
          <w:rFonts w:hint="eastAsia" w:ascii="微软雅黑" w:hAnsi="微软雅黑" w:eastAsia="微软雅黑" w:cs="微软雅黑"/>
          <w:kern w:val="0"/>
          <w:szCs w:val="21"/>
        </w:rPr>
        <w:t>（</w:t>
      </w:r>
      <w:r>
        <w:rPr>
          <w:rFonts w:ascii="微软雅黑" w:hAnsi="微软雅黑" w:eastAsia="微软雅黑" w:cs="微软雅黑"/>
          <w:kern w:val="0"/>
          <w:szCs w:val="21"/>
        </w:rPr>
        <w:t>2</w:t>
      </w:r>
      <w:r>
        <w:rPr>
          <w:rFonts w:hint="eastAsia" w:ascii="微软雅黑" w:hAnsi="微软雅黑" w:eastAsia="微软雅黑" w:cs="微软雅黑"/>
          <w:kern w:val="0"/>
          <w:szCs w:val="21"/>
        </w:rPr>
        <w:t>）会议费支出情况：</w:t>
      </w:r>
      <w:r>
        <w:rPr>
          <w:rFonts w:ascii="微软雅黑" w:hAnsi="微软雅黑" w:eastAsia="微软雅黑" w:cs="微软雅黑"/>
          <w:kern w:val="0"/>
          <w:szCs w:val="21"/>
        </w:rPr>
        <w:t>2020</w:t>
      </w:r>
      <w:r>
        <w:rPr>
          <w:rFonts w:hint="eastAsia" w:ascii="微软雅黑" w:hAnsi="微软雅黑" w:eastAsia="微软雅黑" w:cs="微软雅黑"/>
          <w:kern w:val="0"/>
          <w:szCs w:val="21"/>
        </w:rPr>
        <w:t>年会议费完成</w:t>
      </w:r>
      <w:r>
        <w:rPr>
          <w:rFonts w:ascii="微软雅黑" w:hAnsi="微软雅黑" w:eastAsia="微软雅黑" w:cs="微软雅黑"/>
          <w:kern w:val="0"/>
          <w:szCs w:val="21"/>
        </w:rPr>
        <w:t>1,472.8</w:t>
      </w:r>
      <w:r>
        <w:rPr>
          <w:rFonts w:hint="eastAsia" w:ascii="微软雅黑" w:hAnsi="微软雅黑" w:eastAsia="微软雅黑" w:cs="微软雅黑"/>
          <w:kern w:val="0"/>
          <w:szCs w:val="21"/>
        </w:rPr>
        <w:t>元，比上年减少</w:t>
      </w:r>
      <w:r>
        <w:rPr>
          <w:rFonts w:ascii="微软雅黑" w:hAnsi="微软雅黑" w:eastAsia="微软雅黑" w:cs="微软雅黑"/>
          <w:kern w:val="0"/>
          <w:szCs w:val="21"/>
        </w:rPr>
        <w:t>38,527.2</w:t>
      </w:r>
      <w:r>
        <w:rPr>
          <w:rFonts w:hint="eastAsia" w:ascii="微软雅黑" w:hAnsi="微软雅黑" w:eastAsia="微软雅黑" w:cs="微软雅黑"/>
          <w:kern w:val="0"/>
          <w:szCs w:val="21"/>
        </w:rPr>
        <w:t>元，下降了</w:t>
      </w:r>
      <w:r>
        <w:rPr>
          <w:rFonts w:ascii="微软雅黑" w:hAnsi="微软雅黑" w:eastAsia="微软雅黑" w:cs="微软雅黑"/>
          <w:kern w:val="0"/>
          <w:szCs w:val="21"/>
        </w:rPr>
        <w:t>96.32%</w:t>
      </w:r>
      <w:r>
        <w:rPr>
          <w:rFonts w:hint="eastAsia" w:ascii="微软雅黑" w:hAnsi="微软雅黑" w:eastAsia="微软雅黑" w:cs="微软雅黑"/>
          <w:kern w:val="0"/>
          <w:szCs w:val="21"/>
        </w:rPr>
        <w:t>，增减变化的主要原因是：受疫情影响，本年度厉行节约。</w:t>
      </w:r>
    </w:p>
    <w:p>
      <w:pPr>
        <w:spacing w:line="520" w:lineRule="exact"/>
        <w:ind w:firstLine="420" w:firstLineChars="200"/>
        <w:rPr>
          <w:rFonts w:ascii="微软雅黑" w:hAnsi="微软雅黑" w:eastAsia="微软雅黑" w:cs="微软雅黑"/>
          <w:kern w:val="0"/>
          <w:szCs w:val="21"/>
        </w:rPr>
      </w:pPr>
      <w:r>
        <w:rPr>
          <w:rFonts w:hint="eastAsia" w:ascii="微软雅黑" w:hAnsi="微软雅黑" w:eastAsia="微软雅黑" w:cs="微软雅黑"/>
          <w:kern w:val="0"/>
          <w:szCs w:val="21"/>
        </w:rPr>
        <w:t>（</w:t>
      </w:r>
      <w:r>
        <w:rPr>
          <w:rFonts w:ascii="微软雅黑" w:hAnsi="微软雅黑" w:eastAsia="微软雅黑" w:cs="微软雅黑"/>
          <w:kern w:val="0"/>
          <w:szCs w:val="21"/>
        </w:rPr>
        <w:t>3</w:t>
      </w:r>
      <w:r>
        <w:rPr>
          <w:rFonts w:hint="eastAsia" w:ascii="微软雅黑" w:hAnsi="微软雅黑" w:eastAsia="微软雅黑" w:cs="微软雅黑"/>
          <w:kern w:val="0"/>
          <w:szCs w:val="21"/>
        </w:rPr>
        <w:t>）培训费支出情况：</w:t>
      </w:r>
      <w:r>
        <w:rPr>
          <w:rFonts w:ascii="微软雅黑" w:hAnsi="微软雅黑" w:eastAsia="微软雅黑" w:cs="微软雅黑"/>
          <w:kern w:val="0"/>
          <w:szCs w:val="21"/>
        </w:rPr>
        <w:t>2020</w:t>
      </w:r>
      <w:r>
        <w:rPr>
          <w:rFonts w:hint="eastAsia" w:ascii="微软雅黑" w:hAnsi="微软雅黑" w:eastAsia="微软雅黑" w:cs="微软雅黑"/>
          <w:kern w:val="0"/>
          <w:szCs w:val="21"/>
        </w:rPr>
        <w:t>年培训费完成</w:t>
      </w:r>
      <w:r>
        <w:rPr>
          <w:rFonts w:ascii="微软雅黑" w:hAnsi="微软雅黑" w:eastAsia="微软雅黑" w:cs="微软雅黑"/>
          <w:kern w:val="0"/>
          <w:szCs w:val="21"/>
        </w:rPr>
        <w:t>601,859.56</w:t>
      </w:r>
      <w:r>
        <w:rPr>
          <w:rFonts w:hint="eastAsia" w:ascii="微软雅黑" w:hAnsi="微软雅黑" w:eastAsia="微软雅黑" w:cs="微软雅黑"/>
          <w:kern w:val="0"/>
          <w:szCs w:val="21"/>
        </w:rPr>
        <w:t>元，比上年增加</w:t>
      </w:r>
      <w:r>
        <w:rPr>
          <w:rFonts w:ascii="微软雅黑" w:hAnsi="微软雅黑" w:eastAsia="微软雅黑" w:cs="微软雅黑"/>
          <w:kern w:val="0"/>
          <w:szCs w:val="21"/>
        </w:rPr>
        <w:t>177,053.72</w:t>
      </w:r>
      <w:r>
        <w:rPr>
          <w:rFonts w:hint="eastAsia" w:ascii="微软雅黑" w:hAnsi="微软雅黑" w:eastAsia="微软雅黑" w:cs="微软雅黑"/>
          <w:kern w:val="0"/>
          <w:szCs w:val="21"/>
        </w:rPr>
        <w:t>元，增长</w:t>
      </w:r>
      <w:r>
        <w:rPr>
          <w:rFonts w:ascii="微软雅黑" w:hAnsi="微软雅黑" w:eastAsia="微软雅黑" w:cs="微软雅黑"/>
          <w:kern w:val="0"/>
          <w:szCs w:val="21"/>
        </w:rPr>
        <w:t>41.68%</w:t>
      </w:r>
      <w:r>
        <w:rPr>
          <w:rFonts w:hint="eastAsia" w:ascii="微软雅黑" w:hAnsi="微软雅黑" w:eastAsia="微软雅黑" w:cs="微软雅黑"/>
          <w:kern w:val="0"/>
          <w:szCs w:val="21"/>
        </w:rPr>
        <w:t>，增减变化的主要原因是：幼高专三校合并，资金相应汇总。</w:t>
      </w:r>
    </w:p>
    <w:p>
      <w:pPr>
        <w:ind w:firstLine="420" w:firstLineChars="200"/>
        <w:rPr>
          <w:rFonts w:ascii="微软雅黑" w:hAnsi="微软雅黑" w:eastAsia="微软雅黑" w:cs="微软雅黑"/>
          <w:kern w:val="0"/>
          <w:szCs w:val="21"/>
        </w:rPr>
      </w:pPr>
      <w:r>
        <w:rPr>
          <w:rFonts w:hint="eastAsia" w:ascii="微软雅黑" w:hAnsi="微软雅黑" w:eastAsia="微软雅黑" w:cs="微软雅黑"/>
          <w:kern w:val="0"/>
          <w:szCs w:val="21"/>
        </w:rPr>
        <w:t>（四）</w:t>
      </w:r>
      <w:r>
        <w:rPr>
          <w:rFonts w:ascii="微软雅黑" w:hAnsi="微软雅黑" w:eastAsia="微软雅黑" w:cs="微软雅黑"/>
          <w:kern w:val="0"/>
          <w:szCs w:val="21"/>
        </w:rPr>
        <w:t>效益指标完成情况分析。</w:t>
      </w:r>
    </w:p>
    <w:p>
      <w:pPr>
        <w:ind w:firstLine="420" w:firstLineChars="200"/>
        <w:rPr>
          <w:rFonts w:ascii="微软雅黑" w:hAnsi="微软雅黑" w:eastAsia="微软雅黑" w:cs="微软雅黑"/>
          <w:kern w:val="0"/>
          <w:szCs w:val="21"/>
        </w:rPr>
      </w:pPr>
      <w:r>
        <w:rPr>
          <w:rFonts w:ascii="微软雅黑" w:hAnsi="微软雅黑" w:eastAsia="微软雅黑" w:cs="微软雅黑"/>
          <w:kern w:val="0"/>
          <w:szCs w:val="21"/>
        </w:rPr>
        <w:t>2020年，学校加强对外宣传力度，利用</w:t>
      </w:r>
      <w:r>
        <w:rPr>
          <w:rFonts w:hint="eastAsia" w:ascii="微软雅黑" w:hAnsi="微软雅黑" w:eastAsia="微软雅黑" w:cs="微软雅黑"/>
          <w:kern w:val="0"/>
          <w:szCs w:val="21"/>
          <w:lang w:eastAsia="zh-CN"/>
        </w:rPr>
        <w:t>校园网、公众号</w:t>
      </w:r>
      <w:r>
        <w:rPr>
          <w:rFonts w:ascii="微软雅黑" w:hAnsi="微软雅黑" w:eastAsia="微软雅黑" w:cs="微软雅黑"/>
          <w:kern w:val="0"/>
          <w:szCs w:val="21"/>
        </w:rPr>
        <w:t>等平台进行宣传，扩大学校的影响力，学校关注度进一步提升。 以活动为载体，培养学生良好的思想情操;加强对学生的爱国主义、集体主义和社会主义教育;合理配置教育资源，提高办学效益。</w:t>
      </w:r>
      <w:r>
        <w:rPr>
          <w:rFonts w:ascii="微软雅黑" w:hAnsi="微软雅黑" w:eastAsia="微软雅黑" w:cs="微软雅黑"/>
          <w:kern w:val="0"/>
          <w:szCs w:val="21"/>
        </w:rPr>
        <w:br w:type="textWrapping"/>
      </w:r>
      <w:r>
        <w:rPr>
          <w:rFonts w:ascii="微软雅黑" w:hAnsi="微软雅黑" w:eastAsia="微软雅黑" w:cs="微软雅黑"/>
          <w:kern w:val="0"/>
          <w:szCs w:val="21"/>
        </w:rPr>
        <w:t xml:space="preserve">    </w:t>
      </w:r>
      <w:r>
        <w:rPr>
          <w:rFonts w:hint="eastAsia" w:ascii="微软雅黑" w:hAnsi="微软雅黑" w:eastAsia="微软雅黑" w:cs="微软雅黑"/>
          <w:kern w:val="0"/>
          <w:szCs w:val="21"/>
        </w:rPr>
        <w:t>（五）</w:t>
      </w:r>
      <w:r>
        <w:rPr>
          <w:rFonts w:ascii="微软雅黑" w:hAnsi="微软雅黑" w:eastAsia="微软雅黑" w:cs="微软雅黑"/>
          <w:kern w:val="0"/>
          <w:szCs w:val="21"/>
        </w:rPr>
        <w:t>满意度指标完成情况分析。</w:t>
      </w:r>
      <w:r>
        <w:rPr>
          <w:rFonts w:ascii="微软雅黑" w:hAnsi="微软雅黑" w:eastAsia="微软雅黑" w:cs="微软雅黑"/>
          <w:kern w:val="0"/>
          <w:szCs w:val="21"/>
        </w:rPr>
        <w:br w:type="textWrapping"/>
      </w:r>
      <w:r>
        <w:rPr>
          <w:rFonts w:ascii="微软雅黑" w:hAnsi="微软雅黑" w:eastAsia="微软雅黑" w:cs="微软雅黑"/>
          <w:kern w:val="0"/>
          <w:szCs w:val="21"/>
        </w:rPr>
        <w:t xml:space="preserve">    2020</w:t>
      </w:r>
      <w:r>
        <w:rPr>
          <w:rFonts w:hint="eastAsia" w:ascii="微软雅黑" w:hAnsi="微软雅黑" w:eastAsia="微软雅黑" w:cs="微软雅黑"/>
          <w:kern w:val="0"/>
          <w:szCs w:val="21"/>
        </w:rPr>
        <w:t>年在市人民</w:t>
      </w:r>
      <w:r>
        <w:rPr>
          <w:rFonts w:ascii="微软雅黑" w:hAnsi="微软雅黑" w:eastAsia="微软雅黑" w:cs="微软雅黑"/>
          <w:kern w:val="0"/>
          <w:szCs w:val="21"/>
        </w:rPr>
        <w:t>政府和上级主管部门的高度重视和大力支持下，</w:t>
      </w:r>
      <w:r>
        <w:rPr>
          <w:rFonts w:hint="eastAsia" w:ascii="微软雅黑" w:hAnsi="微软雅黑" w:eastAsia="微软雅黑" w:cs="微软雅黑"/>
          <w:kern w:val="0"/>
          <w:szCs w:val="21"/>
        </w:rPr>
        <w:t>努力</w:t>
      </w:r>
      <w:r>
        <w:rPr>
          <w:rFonts w:ascii="微软雅黑" w:hAnsi="微软雅黑" w:eastAsia="微软雅黑" w:cs="微软雅黑"/>
          <w:kern w:val="0"/>
          <w:szCs w:val="21"/>
        </w:rPr>
        <w:t>为学生</w:t>
      </w:r>
      <w:r>
        <w:rPr>
          <w:rFonts w:hint="eastAsia" w:ascii="微软雅黑" w:hAnsi="微软雅黑" w:eastAsia="微软雅黑" w:cs="微软雅黑"/>
          <w:kern w:val="0"/>
          <w:szCs w:val="21"/>
        </w:rPr>
        <w:t>打</w:t>
      </w:r>
      <w:r>
        <w:rPr>
          <w:rFonts w:ascii="微软雅黑" w:hAnsi="微软雅黑" w:eastAsia="微软雅黑" w:cs="微软雅黑"/>
          <w:kern w:val="0"/>
          <w:szCs w:val="21"/>
        </w:rPr>
        <w:t>造良好的学习环境</w:t>
      </w:r>
      <w:r>
        <w:rPr>
          <w:rFonts w:hint="eastAsia" w:ascii="微软雅黑" w:hAnsi="微软雅黑" w:eastAsia="微软雅黑" w:cs="微软雅黑"/>
          <w:kern w:val="0"/>
          <w:szCs w:val="21"/>
        </w:rPr>
        <w:t xml:space="preserve"> </w:t>
      </w:r>
      <w:r>
        <w:rPr>
          <w:rFonts w:ascii="微软雅黑" w:hAnsi="微软雅黑" w:eastAsia="微软雅黑" w:cs="微软雅黑"/>
          <w:kern w:val="0"/>
          <w:szCs w:val="21"/>
        </w:rPr>
        <w:t>; 依法办学、依法治教、秉公执教，为学校赢得了良好的口碑，社会满意度不断提高，学校美 誉度持续攀升，家长和学生满意度9</w:t>
      </w:r>
      <w:r>
        <w:rPr>
          <w:rFonts w:hint="eastAsia" w:ascii="微软雅黑" w:hAnsi="微软雅黑" w:eastAsia="微软雅黑" w:cs="微软雅黑"/>
          <w:kern w:val="0"/>
          <w:szCs w:val="21"/>
          <w:lang w:val="en-US" w:eastAsia="zh-CN"/>
        </w:rPr>
        <w:t>9</w:t>
      </w:r>
      <w:r>
        <w:rPr>
          <w:rFonts w:ascii="微软雅黑" w:hAnsi="微软雅黑" w:eastAsia="微软雅黑" w:cs="微软雅黑"/>
          <w:kern w:val="0"/>
          <w:szCs w:val="21"/>
        </w:rPr>
        <w:t>%。</w:t>
      </w:r>
    </w:p>
    <w:p>
      <w:pPr>
        <w:ind w:left="420" w:leftChars="200"/>
        <w:rPr>
          <w:rFonts w:ascii="微软雅黑" w:hAnsi="微软雅黑" w:eastAsia="微软雅黑" w:cs="微软雅黑"/>
          <w:color w:val="000000"/>
          <w:kern w:val="0"/>
          <w:szCs w:val="21"/>
        </w:rPr>
      </w:pPr>
      <w:r>
        <w:rPr>
          <w:rFonts w:ascii="微软雅黑" w:hAnsi="微软雅黑" w:eastAsia="微软雅黑" w:cs="微软雅黑"/>
          <w:kern w:val="0"/>
          <w:szCs w:val="21"/>
        </w:rPr>
        <w:t>四、评价结论及建议</w:t>
      </w:r>
      <w:r>
        <w:rPr>
          <w:rFonts w:ascii="微软雅黑" w:hAnsi="微软雅黑" w:eastAsia="微软雅黑" w:cs="微软雅黑"/>
          <w:kern w:val="0"/>
          <w:szCs w:val="21"/>
        </w:rPr>
        <w:br w:type="textWrapping"/>
      </w:r>
      <w:r>
        <w:rPr>
          <w:rFonts w:hint="eastAsia" w:ascii="微软雅黑" w:hAnsi="微软雅黑" w:eastAsia="微软雅黑" w:cs="微软雅黑"/>
          <w:color w:val="000000"/>
          <w:kern w:val="0"/>
          <w:szCs w:val="21"/>
        </w:rPr>
        <w:t>（一）</w:t>
      </w:r>
      <w:r>
        <w:rPr>
          <w:rFonts w:ascii="微软雅黑" w:hAnsi="微软雅黑" w:eastAsia="微软雅黑" w:cs="微软雅黑"/>
          <w:color w:val="000000"/>
          <w:kern w:val="0"/>
          <w:szCs w:val="21"/>
        </w:rPr>
        <w:t>评价结论。</w:t>
      </w:r>
    </w:p>
    <w:p>
      <w:pPr>
        <w:ind w:firstLine="420" w:firstLineChars="200"/>
        <w:rPr>
          <w:rFonts w:hint="eastAsia" w:ascii="微软雅黑" w:hAnsi="微软雅黑" w:eastAsia="微软雅黑" w:cs="微软雅黑"/>
          <w:color w:val="000000"/>
          <w:kern w:val="0"/>
          <w:szCs w:val="21"/>
        </w:rPr>
      </w:pPr>
      <w:r>
        <w:rPr>
          <w:rFonts w:ascii="微软雅黑" w:hAnsi="微软雅黑" w:eastAsia="微软雅黑" w:cs="微软雅黑"/>
          <w:color w:val="000000"/>
          <w:kern w:val="0"/>
          <w:szCs w:val="21"/>
        </w:rPr>
        <w:t>综上所述，2020年度我校努力做好财政预算收入、支出以及各项目的管理工作，将</w:t>
      </w:r>
      <w:r>
        <w:rPr>
          <w:rFonts w:hint="eastAsia" w:ascii="微软雅黑" w:hAnsi="微软雅黑" w:eastAsia="微软雅黑" w:cs="微软雅黑"/>
          <w:color w:val="000000"/>
          <w:kern w:val="0"/>
          <w:szCs w:val="21"/>
        </w:rPr>
        <w:t>预</w:t>
      </w:r>
      <w:r>
        <w:rPr>
          <w:rFonts w:ascii="微软雅黑" w:hAnsi="微软雅黑" w:eastAsia="微软雅黑" w:cs="微软雅黑"/>
          <w:color w:val="000000"/>
          <w:kern w:val="0"/>
          <w:szCs w:val="21"/>
        </w:rPr>
        <w:t>算</w:t>
      </w:r>
      <w:r>
        <w:rPr>
          <w:rFonts w:hint="eastAsia" w:ascii="微软雅黑" w:hAnsi="微软雅黑" w:eastAsia="微软雅黑" w:cs="微软雅黑"/>
          <w:color w:val="000000"/>
          <w:kern w:val="0"/>
          <w:szCs w:val="21"/>
        </w:rPr>
        <w:t>及</w:t>
      </w:r>
      <w:r>
        <w:rPr>
          <w:rFonts w:ascii="微软雅黑" w:hAnsi="微软雅黑" w:eastAsia="微软雅黑" w:cs="微软雅黑"/>
          <w:color w:val="000000"/>
          <w:kern w:val="0"/>
          <w:szCs w:val="21"/>
        </w:rPr>
        <w:t>时公开到相关的信息网络平台,对预算的资金进行全方位的监督和管理,使每一笔资金都能起到最大的使用效益。 结合我校实际将支出进行合理化分配，以达到合理高效地运用资金、提升资金的产出效果、节约成本与资源、提高部门的办事效率。在部门预算整体支出绩效方面都按规定严格执行,合理安排，使财政资金发挥出最大的效益</w:t>
      </w:r>
      <w:r>
        <w:rPr>
          <w:rFonts w:hint="eastAsia" w:ascii="微软雅黑" w:hAnsi="微软雅黑" w:eastAsia="微软雅黑" w:cs="微软雅黑"/>
          <w:color w:val="000000"/>
          <w:kern w:val="0"/>
          <w:szCs w:val="21"/>
        </w:rPr>
        <w:t>，</w:t>
      </w:r>
      <w:r>
        <w:rPr>
          <w:rFonts w:ascii="微软雅黑" w:hAnsi="微软雅黑" w:eastAsia="微软雅黑" w:cs="微软雅黑"/>
          <w:color w:val="000000"/>
          <w:kern w:val="0"/>
          <w:szCs w:val="21"/>
        </w:rPr>
        <w:t>产生了较好的社会效益。</w:t>
      </w:r>
    </w:p>
    <w:p>
      <w:pPr>
        <w:ind w:firstLine="420" w:firstLineChars="200"/>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（二）存在的问题及建议</w:t>
      </w:r>
    </w:p>
    <w:p>
      <w:pPr>
        <w:ind w:firstLine="420" w:firstLineChars="200"/>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1、</w:t>
      </w:r>
      <w:r>
        <w:rPr>
          <w:rFonts w:ascii="微软雅黑" w:hAnsi="微软雅黑" w:eastAsia="微软雅黑" w:cs="微软雅黑"/>
          <w:color w:val="000000"/>
          <w:kern w:val="0"/>
          <w:szCs w:val="21"/>
        </w:rPr>
        <w:t>绩效评价在目标设定上过于简单，预算绩效编制的合理性有待提高。绩效评价在指标的设定上存在偏离的现象，绩效目标的设定应从单位实际情况出发，促进预算管理的作用还没有得到充分体现。</w:t>
      </w:r>
    </w:p>
    <w:p>
      <w:pPr>
        <w:ind w:firstLine="420" w:firstLineChars="200"/>
        <w:rPr>
          <w:rFonts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2、建立健全部门预算绩效管理的法律法规体系，完善预算绩效管理体系与指标评估体系，提升绩效管理从业人员的专业素质和思想水平。</w:t>
      </w:r>
    </w:p>
    <w:p>
      <w:pPr>
        <w:ind w:firstLine="420" w:firstLineChars="200"/>
        <w:rPr>
          <w:rFonts w:ascii="微软雅黑" w:hAnsi="微软雅黑" w:eastAsia="微软雅黑" w:cs="微软雅黑"/>
          <w:color w:val="000000"/>
          <w:kern w:val="0"/>
          <w:szCs w:val="21"/>
        </w:rPr>
      </w:pPr>
      <w:r>
        <w:rPr>
          <w:rFonts w:ascii="微软雅黑" w:hAnsi="微软雅黑" w:eastAsia="微软雅黑" w:cs="微软雅黑"/>
          <w:color w:val="000000"/>
          <w:kern w:val="0"/>
          <w:szCs w:val="21"/>
        </w:rPr>
        <w:t>3、建议加强政策学习，提高思想认识。提高单位领导及财务人员的财务政策意识，坚持先有预算、后有支付，没有预算就不得支出。年度预算编制后,根据实际情况，定期做好预算执行分析，掌握预算执行进度，及时找出预算实际执行情况与预算目标之间的差距。</w:t>
      </w:r>
      <w:r>
        <w:rPr>
          <w:rFonts w:ascii="微软雅黑" w:hAnsi="微软雅黑" w:eastAsia="微软雅黑" w:cs="微软雅黑"/>
          <w:color w:val="000000"/>
          <w:kern w:val="0"/>
          <w:szCs w:val="21"/>
        </w:rPr>
        <w:br w:type="textWrapping"/>
      </w:r>
      <w:r>
        <w:rPr>
          <w:rFonts w:ascii="微软雅黑" w:hAnsi="微软雅黑" w:eastAsia="微软雅黑" w:cs="微软雅黑"/>
          <w:color w:val="000000"/>
          <w:kern w:val="0"/>
          <w:szCs w:val="21"/>
        </w:rPr>
        <w:t xml:space="preserve">    4、建议教育行政主管部门和财政部</w:t>
      </w:r>
      <w:r>
        <w:rPr>
          <w:rFonts w:hint="eastAsia" w:ascii="微软雅黑" w:hAnsi="微软雅黑" w:eastAsia="微软雅黑" w:cs="微软雅黑"/>
          <w:color w:val="000000"/>
          <w:kern w:val="0"/>
          <w:szCs w:val="21"/>
          <w:lang w:eastAsia="zh-CN"/>
        </w:rPr>
        <w:t>门</w:t>
      </w:r>
      <w:r>
        <w:rPr>
          <w:rFonts w:ascii="微软雅黑" w:hAnsi="微软雅黑" w:eastAsia="微软雅黑" w:cs="微软雅黑"/>
          <w:color w:val="000000"/>
          <w:kern w:val="0"/>
          <w:szCs w:val="21"/>
        </w:rPr>
        <w:t>应高度重视学校财务人员的专业技能培训，注重培训学校财务人员的实际操作能力，应定期组织财务培训，提升财务人员的财务专业技能，较好的完成学校</w:t>
      </w:r>
      <w:r>
        <w:rPr>
          <w:rFonts w:hint="eastAsia" w:ascii="微软雅黑" w:hAnsi="微软雅黑" w:eastAsia="微软雅黑" w:cs="微软雅黑"/>
          <w:color w:val="000000"/>
          <w:kern w:val="0"/>
          <w:szCs w:val="21"/>
        </w:rPr>
        <w:t>及上级主管部门安排</w:t>
      </w:r>
      <w:r>
        <w:rPr>
          <w:rFonts w:ascii="微软雅黑" w:hAnsi="微软雅黑" w:eastAsia="微软雅黑" w:cs="微软雅黑"/>
          <w:color w:val="000000"/>
          <w:kern w:val="0"/>
          <w:szCs w:val="21"/>
        </w:rPr>
        <w:t>的各项财务工作。</w:t>
      </w:r>
    </w:p>
    <w:p/>
    <w:p/>
    <w:p/>
    <w:p/>
    <w:p>
      <w:pPr>
        <w:rPr>
          <w:rFonts w:hint="eastAsia"/>
          <w:lang w:val="en-US" w:eastAsia="zh-CN"/>
        </w:rPr>
      </w:pPr>
      <w:r>
        <w:rPr>
          <w:rFonts w:hint="eastAsia"/>
          <w:lang w:val="en-US" w:eastAsia="zh-CN"/>
        </w:rPr>
        <w:t xml:space="preserve">                                                 衡阳幼儿师范高等专科学校</w:t>
      </w:r>
    </w:p>
    <w:p>
      <w:pPr>
        <w:rPr>
          <w:rFonts w:hint="default"/>
          <w:lang w:val="en-US" w:eastAsia="zh-CN"/>
        </w:rPr>
      </w:pPr>
      <w:r>
        <w:rPr>
          <w:rFonts w:hint="eastAsia"/>
          <w:lang w:val="en-US" w:eastAsia="zh-CN"/>
        </w:rPr>
        <w:t xml:space="preserve">                                                </w:t>
      </w:r>
      <w:bookmarkStart w:id="3" w:name="_GoBack"/>
      <w:bookmarkEnd w:id="3"/>
      <w:r>
        <w:rPr>
          <w:rFonts w:hint="eastAsia"/>
          <w:lang w:val="en-US" w:eastAsia="zh-CN"/>
        </w:rPr>
        <w:t xml:space="preserve">     2021年9月20日 </w:t>
      </w:r>
    </w:p>
    <w:sectPr>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D72D54"/>
    <w:rsid w:val="00034B45"/>
    <w:rsid w:val="000A4A40"/>
    <w:rsid w:val="00112995"/>
    <w:rsid w:val="00A57004"/>
    <w:rsid w:val="00EF3870"/>
    <w:rsid w:val="01276120"/>
    <w:rsid w:val="01292E6B"/>
    <w:rsid w:val="014F7B6E"/>
    <w:rsid w:val="01511258"/>
    <w:rsid w:val="015967FE"/>
    <w:rsid w:val="019E11B3"/>
    <w:rsid w:val="01A42E7E"/>
    <w:rsid w:val="01A775D9"/>
    <w:rsid w:val="01B60941"/>
    <w:rsid w:val="02701F7E"/>
    <w:rsid w:val="02721624"/>
    <w:rsid w:val="02B21423"/>
    <w:rsid w:val="02E608A0"/>
    <w:rsid w:val="02EF2D79"/>
    <w:rsid w:val="03147B85"/>
    <w:rsid w:val="033D7DA6"/>
    <w:rsid w:val="03562E2F"/>
    <w:rsid w:val="03E42784"/>
    <w:rsid w:val="04026EE9"/>
    <w:rsid w:val="04067B8D"/>
    <w:rsid w:val="040E2250"/>
    <w:rsid w:val="0414592F"/>
    <w:rsid w:val="04373E00"/>
    <w:rsid w:val="04491887"/>
    <w:rsid w:val="047F291F"/>
    <w:rsid w:val="047F40D0"/>
    <w:rsid w:val="04A95710"/>
    <w:rsid w:val="04C96E18"/>
    <w:rsid w:val="04CF483B"/>
    <w:rsid w:val="05283F7F"/>
    <w:rsid w:val="05501AD7"/>
    <w:rsid w:val="05721CEA"/>
    <w:rsid w:val="05877611"/>
    <w:rsid w:val="05AC71A4"/>
    <w:rsid w:val="05BB5E49"/>
    <w:rsid w:val="05E84904"/>
    <w:rsid w:val="060A158E"/>
    <w:rsid w:val="060B4F09"/>
    <w:rsid w:val="060D24D3"/>
    <w:rsid w:val="066E7586"/>
    <w:rsid w:val="06735460"/>
    <w:rsid w:val="06876935"/>
    <w:rsid w:val="06924863"/>
    <w:rsid w:val="06C11D6A"/>
    <w:rsid w:val="06C92B89"/>
    <w:rsid w:val="07016659"/>
    <w:rsid w:val="07413E1B"/>
    <w:rsid w:val="076169E4"/>
    <w:rsid w:val="076E3F15"/>
    <w:rsid w:val="07A03FF7"/>
    <w:rsid w:val="07D03716"/>
    <w:rsid w:val="07DC3A34"/>
    <w:rsid w:val="07E245DA"/>
    <w:rsid w:val="083948C9"/>
    <w:rsid w:val="08435B69"/>
    <w:rsid w:val="08443FC4"/>
    <w:rsid w:val="085D0F3E"/>
    <w:rsid w:val="08703DDB"/>
    <w:rsid w:val="08911752"/>
    <w:rsid w:val="08A67EB6"/>
    <w:rsid w:val="08AD675E"/>
    <w:rsid w:val="08B33244"/>
    <w:rsid w:val="08D162B6"/>
    <w:rsid w:val="08F06986"/>
    <w:rsid w:val="08F75E31"/>
    <w:rsid w:val="092E090E"/>
    <w:rsid w:val="096020E4"/>
    <w:rsid w:val="09743548"/>
    <w:rsid w:val="09940B5A"/>
    <w:rsid w:val="0996686E"/>
    <w:rsid w:val="0A016DB1"/>
    <w:rsid w:val="0A190C1A"/>
    <w:rsid w:val="0A1D43DC"/>
    <w:rsid w:val="0A4E5CBB"/>
    <w:rsid w:val="0A843DA6"/>
    <w:rsid w:val="0A863688"/>
    <w:rsid w:val="0AC23008"/>
    <w:rsid w:val="0ACA6C76"/>
    <w:rsid w:val="0ACB336B"/>
    <w:rsid w:val="0AF52874"/>
    <w:rsid w:val="0B0F21C0"/>
    <w:rsid w:val="0B1A005C"/>
    <w:rsid w:val="0B5078D7"/>
    <w:rsid w:val="0B550C44"/>
    <w:rsid w:val="0B772BDC"/>
    <w:rsid w:val="0B8E2066"/>
    <w:rsid w:val="0BA35478"/>
    <w:rsid w:val="0BC04806"/>
    <w:rsid w:val="0BD65627"/>
    <w:rsid w:val="0C0F44E0"/>
    <w:rsid w:val="0CA1448F"/>
    <w:rsid w:val="0CA32AA8"/>
    <w:rsid w:val="0D2F20B4"/>
    <w:rsid w:val="0D452501"/>
    <w:rsid w:val="0D65075F"/>
    <w:rsid w:val="0D665132"/>
    <w:rsid w:val="0DBB6B0A"/>
    <w:rsid w:val="0DBC1A23"/>
    <w:rsid w:val="0DDC135D"/>
    <w:rsid w:val="0E1C1CBD"/>
    <w:rsid w:val="0E7552DD"/>
    <w:rsid w:val="0E79533D"/>
    <w:rsid w:val="0E7D57CF"/>
    <w:rsid w:val="0ECC3BEA"/>
    <w:rsid w:val="0F144184"/>
    <w:rsid w:val="0F1C62C7"/>
    <w:rsid w:val="0F2E1F67"/>
    <w:rsid w:val="0F3D5BBA"/>
    <w:rsid w:val="0F3F019D"/>
    <w:rsid w:val="0F3F0C21"/>
    <w:rsid w:val="0F800099"/>
    <w:rsid w:val="0F921EF8"/>
    <w:rsid w:val="0FC26152"/>
    <w:rsid w:val="0FC601BF"/>
    <w:rsid w:val="10060226"/>
    <w:rsid w:val="1021781E"/>
    <w:rsid w:val="109244B4"/>
    <w:rsid w:val="10E67F73"/>
    <w:rsid w:val="11350FC3"/>
    <w:rsid w:val="11403931"/>
    <w:rsid w:val="11427235"/>
    <w:rsid w:val="1160207C"/>
    <w:rsid w:val="11691213"/>
    <w:rsid w:val="11A678F3"/>
    <w:rsid w:val="11B2477D"/>
    <w:rsid w:val="120A0B74"/>
    <w:rsid w:val="1225480C"/>
    <w:rsid w:val="12305B44"/>
    <w:rsid w:val="12395882"/>
    <w:rsid w:val="12572C62"/>
    <w:rsid w:val="12832B16"/>
    <w:rsid w:val="12963B61"/>
    <w:rsid w:val="12A001D8"/>
    <w:rsid w:val="12A03FDD"/>
    <w:rsid w:val="12EB14A5"/>
    <w:rsid w:val="132B2CAB"/>
    <w:rsid w:val="13426212"/>
    <w:rsid w:val="13511047"/>
    <w:rsid w:val="13530689"/>
    <w:rsid w:val="13571F03"/>
    <w:rsid w:val="13584546"/>
    <w:rsid w:val="138132DE"/>
    <w:rsid w:val="138662BF"/>
    <w:rsid w:val="139B183B"/>
    <w:rsid w:val="13CD7E8D"/>
    <w:rsid w:val="141459E2"/>
    <w:rsid w:val="14295BBE"/>
    <w:rsid w:val="143746C5"/>
    <w:rsid w:val="14501E36"/>
    <w:rsid w:val="145B604C"/>
    <w:rsid w:val="15037188"/>
    <w:rsid w:val="15153CFF"/>
    <w:rsid w:val="154C316F"/>
    <w:rsid w:val="154E64F6"/>
    <w:rsid w:val="15BF24D2"/>
    <w:rsid w:val="16174016"/>
    <w:rsid w:val="16366EA1"/>
    <w:rsid w:val="16517A95"/>
    <w:rsid w:val="16A059C5"/>
    <w:rsid w:val="16C455F3"/>
    <w:rsid w:val="16F23847"/>
    <w:rsid w:val="176D5AE5"/>
    <w:rsid w:val="176F3CF4"/>
    <w:rsid w:val="177B4445"/>
    <w:rsid w:val="178C1D8E"/>
    <w:rsid w:val="17931257"/>
    <w:rsid w:val="17B07FD2"/>
    <w:rsid w:val="17B52230"/>
    <w:rsid w:val="17D226D1"/>
    <w:rsid w:val="17F03885"/>
    <w:rsid w:val="18152DA2"/>
    <w:rsid w:val="1816118F"/>
    <w:rsid w:val="182F4A44"/>
    <w:rsid w:val="18395CC2"/>
    <w:rsid w:val="183E0B42"/>
    <w:rsid w:val="18541566"/>
    <w:rsid w:val="186B1DF6"/>
    <w:rsid w:val="186F101A"/>
    <w:rsid w:val="18B75606"/>
    <w:rsid w:val="18D511E5"/>
    <w:rsid w:val="19642C59"/>
    <w:rsid w:val="197C2BAB"/>
    <w:rsid w:val="19934B8F"/>
    <w:rsid w:val="19C00F4B"/>
    <w:rsid w:val="19D421B6"/>
    <w:rsid w:val="1A2154AB"/>
    <w:rsid w:val="1A2D6009"/>
    <w:rsid w:val="1A365AD9"/>
    <w:rsid w:val="1A384EDA"/>
    <w:rsid w:val="1A3A7A46"/>
    <w:rsid w:val="1A4B3825"/>
    <w:rsid w:val="1A5214C4"/>
    <w:rsid w:val="1A604A6E"/>
    <w:rsid w:val="1A622F58"/>
    <w:rsid w:val="1AAE251F"/>
    <w:rsid w:val="1AB77BA8"/>
    <w:rsid w:val="1ABA1A9B"/>
    <w:rsid w:val="1AD210BC"/>
    <w:rsid w:val="1ADA5355"/>
    <w:rsid w:val="1AEB4A6C"/>
    <w:rsid w:val="1B113722"/>
    <w:rsid w:val="1BA34EBE"/>
    <w:rsid w:val="1BA64A02"/>
    <w:rsid w:val="1BBE4C21"/>
    <w:rsid w:val="1BCC526D"/>
    <w:rsid w:val="1C0F7370"/>
    <w:rsid w:val="1C1845D0"/>
    <w:rsid w:val="1C1C1C79"/>
    <w:rsid w:val="1C285793"/>
    <w:rsid w:val="1C38750B"/>
    <w:rsid w:val="1C432267"/>
    <w:rsid w:val="1C550A94"/>
    <w:rsid w:val="1C682658"/>
    <w:rsid w:val="1C731FF7"/>
    <w:rsid w:val="1C7F7769"/>
    <w:rsid w:val="1CB02F77"/>
    <w:rsid w:val="1CBB3285"/>
    <w:rsid w:val="1CC175BC"/>
    <w:rsid w:val="1CE53BF5"/>
    <w:rsid w:val="1D3B4CED"/>
    <w:rsid w:val="1D61464A"/>
    <w:rsid w:val="1D8231E6"/>
    <w:rsid w:val="1D901010"/>
    <w:rsid w:val="1DAA11E9"/>
    <w:rsid w:val="1DBE404A"/>
    <w:rsid w:val="1E16693C"/>
    <w:rsid w:val="1E2E1C47"/>
    <w:rsid w:val="1E5309C4"/>
    <w:rsid w:val="1E554167"/>
    <w:rsid w:val="1E783066"/>
    <w:rsid w:val="1E7D61A5"/>
    <w:rsid w:val="1E924A94"/>
    <w:rsid w:val="1EB41A4F"/>
    <w:rsid w:val="1ECB2665"/>
    <w:rsid w:val="1EDB0670"/>
    <w:rsid w:val="1F1A67CD"/>
    <w:rsid w:val="1F2406C6"/>
    <w:rsid w:val="1F6163BF"/>
    <w:rsid w:val="1F6278C1"/>
    <w:rsid w:val="1F8B5BAF"/>
    <w:rsid w:val="1F8F6EC3"/>
    <w:rsid w:val="1FA94F16"/>
    <w:rsid w:val="20255F25"/>
    <w:rsid w:val="20291CB3"/>
    <w:rsid w:val="202F73AB"/>
    <w:rsid w:val="2049150E"/>
    <w:rsid w:val="20540D0F"/>
    <w:rsid w:val="205913A2"/>
    <w:rsid w:val="20707F7E"/>
    <w:rsid w:val="20824933"/>
    <w:rsid w:val="20842F75"/>
    <w:rsid w:val="20844EDC"/>
    <w:rsid w:val="20853A42"/>
    <w:rsid w:val="20C80A9F"/>
    <w:rsid w:val="20CB3580"/>
    <w:rsid w:val="20CC6679"/>
    <w:rsid w:val="20D12D62"/>
    <w:rsid w:val="20D24D60"/>
    <w:rsid w:val="20EF11BB"/>
    <w:rsid w:val="20FE693B"/>
    <w:rsid w:val="2111037C"/>
    <w:rsid w:val="21210B07"/>
    <w:rsid w:val="213C39F7"/>
    <w:rsid w:val="21444B43"/>
    <w:rsid w:val="21486C01"/>
    <w:rsid w:val="214E64EB"/>
    <w:rsid w:val="215E2854"/>
    <w:rsid w:val="21665038"/>
    <w:rsid w:val="216820ED"/>
    <w:rsid w:val="219D0A68"/>
    <w:rsid w:val="21A66555"/>
    <w:rsid w:val="21AC0CB6"/>
    <w:rsid w:val="21C806DD"/>
    <w:rsid w:val="21C84029"/>
    <w:rsid w:val="2254336E"/>
    <w:rsid w:val="22BF5F1A"/>
    <w:rsid w:val="22F87C27"/>
    <w:rsid w:val="230D6FA9"/>
    <w:rsid w:val="235D5957"/>
    <w:rsid w:val="23866A70"/>
    <w:rsid w:val="23E8231D"/>
    <w:rsid w:val="23EA2D8E"/>
    <w:rsid w:val="23F16DBD"/>
    <w:rsid w:val="247728AF"/>
    <w:rsid w:val="24AD00E2"/>
    <w:rsid w:val="24B74192"/>
    <w:rsid w:val="24D85F11"/>
    <w:rsid w:val="2523105C"/>
    <w:rsid w:val="25242F6B"/>
    <w:rsid w:val="25261089"/>
    <w:rsid w:val="25365CD1"/>
    <w:rsid w:val="258861EB"/>
    <w:rsid w:val="2591552F"/>
    <w:rsid w:val="25A13587"/>
    <w:rsid w:val="25A36332"/>
    <w:rsid w:val="25C46206"/>
    <w:rsid w:val="25D20556"/>
    <w:rsid w:val="26153E79"/>
    <w:rsid w:val="26285F08"/>
    <w:rsid w:val="264C0E1C"/>
    <w:rsid w:val="26622DB4"/>
    <w:rsid w:val="26650EB8"/>
    <w:rsid w:val="26731BEC"/>
    <w:rsid w:val="26991832"/>
    <w:rsid w:val="26CD0188"/>
    <w:rsid w:val="27394F8E"/>
    <w:rsid w:val="27523E2B"/>
    <w:rsid w:val="280930C2"/>
    <w:rsid w:val="28234FB2"/>
    <w:rsid w:val="28353550"/>
    <w:rsid w:val="28373F3E"/>
    <w:rsid w:val="28905184"/>
    <w:rsid w:val="28A2570F"/>
    <w:rsid w:val="28D43AA3"/>
    <w:rsid w:val="28D91A73"/>
    <w:rsid w:val="292F7AB5"/>
    <w:rsid w:val="29391735"/>
    <w:rsid w:val="296E6EA5"/>
    <w:rsid w:val="29976D19"/>
    <w:rsid w:val="29B04233"/>
    <w:rsid w:val="29B409F0"/>
    <w:rsid w:val="29DC5911"/>
    <w:rsid w:val="2A717FA2"/>
    <w:rsid w:val="2A9F5D13"/>
    <w:rsid w:val="2ABF6C24"/>
    <w:rsid w:val="2ADD3382"/>
    <w:rsid w:val="2AE8452D"/>
    <w:rsid w:val="2B252CD9"/>
    <w:rsid w:val="2B3E1800"/>
    <w:rsid w:val="2B4F1786"/>
    <w:rsid w:val="2B856DA1"/>
    <w:rsid w:val="2BCA702D"/>
    <w:rsid w:val="2C06344A"/>
    <w:rsid w:val="2C0C5168"/>
    <w:rsid w:val="2C1B6AEB"/>
    <w:rsid w:val="2C317416"/>
    <w:rsid w:val="2C85031F"/>
    <w:rsid w:val="2C9C05BB"/>
    <w:rsid w:val="2CA11E70"/>
    <w:rsid w:val="2CC953AF"/>
    <w:rsid w:val="2D065459"/>
    <w:rsid w:val="2D3C0815"/>
    <w:rsid w:val="2D551503"/>
    <w:rsid w:val="2D7633A7"/>
    <w:rsid w:val="2D8D6A47"/>
    <w:rsid w:val="2DD14B22"/>
    <w:rsid w:val="2DDD3980"/>
    <w:rsid w:val="2DDF0704"/>
    <w:rsid w:val="2DE5291B"/>
    <w:rsid w:val="2E162F19"/>
    <w:rsid w:val="2E504D30"/>
    <w:rsid w:val="2E7C7ED0"/>
    <w:rsid w:val="2EBF1B8D"/>
    <w:rsid w:val="2EC01172"/>
    <w:rsid w:val="2EE27F02"/>
    <w:rsid w:val="2F1560C0"/>
    <w:rsid w:val="2F412AFA"/>
    <w:rsid w:val="2F716956"/>
    <w:rsid w:val="2F7572F7"/>
    <w:rsid w:val="2F827763"/>
    <w:rsid w:val="2FA757D8"/>
    <w:rsid w:val="2FEE69A6"/>
    <w:rsid w:val="306200F0"/>
    <w:rsid w:val="30705EF8"/>
    <w:rsid w:val="30986BE7"/>
    <w:rsid w:val="30B44244"/>
    <w:rsid w:val="30B7715D"/>
    <w:rsid w:val="30C24F02"/>
    <w:rsid w:val="30D63CF2"/>
    <w:rsid w:val="310D7CC9"/>
    <w:rsid w:val="3172637E"/>
    <w:rsid w:val="317F3D67"/>
    <w:rsid w:val="31A35982"/>
    <w:rsid w:val="31A47F94"/>
    <w:rsid w:val="31B72549"/>
    <w:rsid w:val="31F571E6"/>
    <w:rsid w:val="323F0E05"/>
    <w:rsid w:val="32646CEC"/>
    <w:rsid w:val="327379FA"/>
    <w:rsid w:val="32926FEA"/>
    <w:rsid w:val="32EF625F"/>
    <w:rsid w:val="32F77F3F"/>
    <w:rsid w:val="33285B6D"/>
    <w:rsid w:val="333618F4"/>
    <w:rsid w:val="333B15CC"/>
    <w:rsid w:val="334C5141"/>
    <w:rsid w:val="33793E0E"/>
    <w:rsid w:val="338836F4"/>
    <w:rsid w:val="33AF6BEE"/>
    <w:rsid w:val="34296063"/>
    <w:rsid w:val="34386AD2"/>
    <w:rsid w:val="349B6A4B"/>
    <w:rsid w:val="34D921AF"/>
    <w:rsid w:val="34E40B9E"/>
    <w:rsid w:val="34FE3DB4"/>
    <w:rsid w:val="351500C6"/>
    <w:rsid w:val="35335C9B"/>
    <w:rsid w:val="35386F12"/>
    <w:rsid w:val="35627325"/>
    <w:rsid w:val="357F7A7E"/>
    <w:rsid w:val="359A4299"/>
    <w:rsid w:val="35AA1B77"/>
    <w:rsid w:val="35BB146A"/>
    <w:rsid w:val="3619331F"/>
    <w:rsid w:val="364D5677"/>
    <w:rsid w:val="368C4536"/>
    <w:rsid w:val="36EF53F3"/>
    <w:rsid w:val="37282DBC"/>
    <w:rsid w:val="37502E47"/>
    <w:rsid w:val="375C6F10"/>
    <w:rsid w:val="37604A3D"/>
    <w:rsid w:val="3763046F"/>
    <w:rsid w:val="37667412"/>
    <w:rsid w:val="379A48E2"/>
    <w:rsid w:val="379C3BB7"/>
    <w:rsid w:val="37AB117E"/>
    <w:rsid w:val="37D61961"/>
    <w:rsid w:val="37E41E16"/>
    <w:rsid w:val="37E707E9"/>
    <w:rsid w:val="37EB4486"/>
    <w:rsid w:val="37F74C52"/>
    <w:rsid w:val="38145E69"/>
    <w:rsid w:val="3822751A"/>
    <w:rsid w:val="382D0B30"/>
    <w:rsid w:val="38425BA2"/>
    <w:rsid w:val="38694446"/>
    <w:rsid w:val="387265D1"/>
    <w:rsid w:val="389568AD"/>
    <w:rsid w:val="38F34CAE"/>
    <w:rsid w:val="393A0F87"/>
    <w:rsid w:val="393F6B8C"/>
    <w:rsid w:val="394B5B7A"/>
    <w:rsid w:val="394F0762"/>
    <w:rsid w:val="397618E6"/>
    <w:rsid w:val="398334A6"/>
    <w:rsid w:val="399143ED"/>
    <w:rsid w:val="399C6D06"/>
    <w:rsid w:val="39F523D9"/>
    <w:rsid w:val="3A0305F4"/>
    <w:rsid w:val="3A3F393A"/>
    <w:rsid w:val="3A764397"/>
    <w:rsid w:val="3A8E08AB"/>
    <w:rsid w:val="3AF32055"/>
    <w:rsid w:val="3AF745B2"/>
    <w:rsid w:val="3B0D06CA"/>
    <w:rsid w:val="3B0E1523"/>
    <w:rsid w:val="3B0E2BC1"/>
    <w:rsid w:val="3B10150F"/>
    <w:rsid w:val="3B1913B0"/>
    <w:rsid w:val="3B217121"/>
    <w:rsid w:val="3B4D746D"/>
    <w:rsid w:val="3B64507A"/>
    <w:rsid w:val="3B7539D5"/>
    <w:rsid w:val="3B95631A"/>
    <w:rsid w:val="3BAD7452"/>
    <w:rsid w:val="3BBA67C9"/>
    <w:rsid w:val="3BC5789D"/>
    <w:rsid w:val="3BDD31CE"/>
    <w:rsid w:val="3C36709E"/>
    <w:rsid w:val="3C3E3DD1"/>
    <w:rsid w:val="3C576B6D"/>
    <w:rsid w:val="3CC80866"/>
    <w:rsid w:val="3CCF2D44"/>
    <w:rsid w:val="3CEA2C1F"/>
    <w:rsid w:val="3D2B255F"/>
    <w:rsid w:val="3D2C1495"/>
    <w:rsid w:val="3D6400D0"/>
    <w:rsid w:val="3D696032"/>
    <w:rsid w:val="3D873FA7"/>
    <w:rsid w:val="3DCA60E8"/>
    <w:rsid w:val="3DD370DA"/>
    <w:rsid w:val="3DF57EB8"/>
    <w:rsid w:val="3E001606"/>
    <w:rsid w:val="3E1A5F4B"/>
    <w:rsid w:val="3E200EA3"/>
    <w:rsid w:val="3E822E90"/>
    <w:rsid w:val="3EF97CBD"/>
    <w:rsid w:val="3F01066C"/>
    <w:rsid w:val="3FA230F2"/>
    <w:rsid w:val="3FA7678B"/>
    <w:rsid w:val="3FA8340E"/>
    <w:rsid w:val="401175F4"/>
    <w:rsid w:val="402A0417"/>
    <w:rsid w:val="403F3341"/>
    <w:rsid w:val="4058716E"/>
    <w:rsid w:val="40705F35"/>
    <w:rsid w:val="40784FAD"/>
    <w:rsid w:val="407F750C"/>
    <w:rsid w:val="40963113"/>
    <w:rsid w:val="40A32BFA"/>
    <w:rsid w:val="40D14984"/>
    <w:rsid w:val="40EA444A"/>
    <w:rsid w:val="412B66CE"/>
    <w:rsid w:val="41512A26"/>
    <w:rsid w:val="41812FA9"/>
    <w:rsid w:val="4182142E"/>
    <w:rsid w:val="418336EA"/>
    <w:rsid w:val="41C05247"/>
    <w:rsid w:val="42070F29"/>
    <w:rsid w:val="420D1B91"/>
    <w:rsid w:val="426D6567"/>
    <w:rsid w:val="429C67A7"/>
    <w:rsid w:val="42AD2D65"/>
    <w:rsid w:val="42C271BA"/>
    <w:rsid w:val="42CF7C1D"/>
    <w:rsid w:val="42DB6E6D"/>
    <w:rsid w:val="42EA6946"/>
    <w:rsid w:val="434468E3"/>
    <w:rsid w:val="434740DF"/>
    <w:rsid w:val="43702F93"/>
    <w:rsid w:val="43A50C96"/>
    <w:rsid w:val="44324618"/>
    <w:rsid w:val="4482594F"/>
    <w:rsid w:val="44994F4D"/>
    <w:rsid w:val="44A31ACC"/>
    <w:rsid w:val="44A51573"/>
    <w:rsid w:val="44D26B54"/>
    <w:rsid w:val="453916BC"/>
    <w:rsid w:val="45CE7C4C"/>
    <w:rsid w:val="45EC5FEB"/>
    <w:rsid w:val="45F736A5"/>
    <w:rsid w:val="4633099A"/>
    <w:rsid w:val="464C751F"/>
    <w:rsid w:val="468F7DA0"/>
    <w:rsid w:val="469B3F7E"/>
    <w:rsid w:val="46B03499"/>
    <w:rsid w:val="4700503B"/>
    <w:rsid w:val="4706696D"/>
    <w:rsid w:val="47113037"/>
    <w:rsid w:val="47382FD8"/>
    <w:rsid w:val="47580E71"/>
    <w:rsid w:val="475A1B60"/>
    <w:rsid w:val="47601C7A"/>
    <w:rsid w:val="477F7281"/>
    <w:rsid w:val="47860733"/>
    <w:rsid w:val="47AC6AEF"/>
    <w:rsid w:val="47AD3A66"/>
    <w:rsid w:val="47DB462B"/>
    <w:rsid w:val="47DF64A0"/>
    <w:rsid w:val="484D49E3"/>
    <w:rsid w:val="486855A2"/>
    <w:rsid w:val="488E614C"/>
    <w:rsid w:val="48D272BD"/>
    <w:rsid w:val="48D84475"/>
    <w:rsid w:val="48DC2D1A"/>
    <w:rsid w:val="490F0B85"/>
    <w:rsid w:val="49105682"/>
    <w:rsid w:val="49241999"/>
    <w:rsid w:val="492B1DFC"/>
    <w:rsid w:val="494E1741"/>
    <w:rsid w:val="49553D12"/>
    <w:rsid w:val="49812CF9"/>
    <w:rsid w:val="49BD27D9"/>
    <w:rsid w:val="49C32606"/>
    <w:rsid w:val="49E015C9"/>
    <w:rsid w:val="49FF228D"/>
    <w:rsid w:val="4A130A8B"/>
    <w:rsid w:val="4A3272C2"/>
    <w:rsid w:val="4A483989"/>
    <w:rsid w:val="4A64250C"/>
    <w:rsid w:val="4A842482"/>
    <w:rsid w:val="4A8516D8"/>
    <w:rsid w:val="4AA738E0"/>
    <w:rsid w:val="4AAD6B93"/>
    <w:rsid w:val="4AD01E1A"/>
    <w:rsid w:val="4AE471B2"/>
    <w:rsid w:val="4AFC3E8E"/>
    <w:rsid w:val="4B104096"/>
    <w:rsid w:val="4B4B7FC2"/>
    <w:rsid w:val="4B5E26CE"/>
    <w:rsid w:val="4B7029A1"/>
    <w:rsid w:val="4B76791F"/>
    <w:rsid w:val="4B790541"/>
    <w:rsid w:val="4BAB5143"/>
    <w:rsid w:val="4BD14024"/>
    <w:rsid w:val="4BE25377"/>
    <w:rsid w:val="4BE531E0"/>
    <w:rsid w:val="4BF90FA4"/>
    <w:rsid w:val="4C017A1F"/>
    <w:rsid w:val="4C153395"/>
    <w:rsid w:val="4C5207AE"/>
    <w:rsid w:val="4C673746"/>
    <w:rsid w:val="4C8A628E"/>
    <w:rsid w:val="4C9832A8"/>
    <w:rsid w:val="4C9E7A67"/>
    <w:rsid w:val="4CA76709"/>
    <w:rsid w:val="4CAC7D76"/>
    <w:rsid w:val="4CBD53AE"/>
    <w:rsid w:val="4CC1763A"/>
    <w:rsid w:val="4CDE6559"/>
    <w:rsid w:val="4D046728"/>
    <w:rsid w:val="4D1206BF"/>
    <w:rsid w:val="4D241E6C"/>
    <w:rsid w:val="4D6F3BD9"/>
    <w:rsid w:val="4DB42D30"/>
    <w:rsid w:val="4DD25292"/>
    <w:rsid w:val="4DD80D90"/>
    <w:rsid w:val="4E042104"/>
    <w:rsid w:val="4E347E75"/>
    <w:rsid w:val="4E4933C2"/>
    <w:rsid w:val="4E732275"/>
    <w:rsid w:val="4E8107AF"/>
    <w:rsid w:val="4EAB6BC8"/>
    <w:rsid w:val="4EB421C5"/>
    <w:rsid w:val="4EE26404"/>
    <w:rsid w:val="4F673EE8"/>
    <w:rsid w:val="4F9A5001"/>
    <w:rsid w:val="4FB71475"/>
    <w:rsid w:val="4FF02F67"/>
    <w:rsid w:val="500E5EDD"/>
    <w:rsid w:val="501F49B5"/>
    <w:rsid w:val="50646D64"/>
    <w:rsid w:val="50880CED"/>
    <w:rsid w:val="50BA3053"/>
    <w:rsid w:val="50FB4DD1"/>
    <w:rsid w:val="5100469E"/>
    <w:rsid w:val="512B7592"/>
    <w:rsid w:val="51846EA7"/>
    <w:rsid w:val="51D97A8B"/>
    <w:rsid w:val="51E34EB8"/>
    <w:rsid w:val="51EA4CB7"/>
    <w:rsid w:val="51F80C95"/>
    <w:rsid w:val="521A20C4"/>
    <w:rsid w:val="52210A86"/>
    <w:rsid w:val="522B6251"/>
    <w:rsid w:val="52496310"/>
    <w:rsid w:val="526007CC"/>
    <w:rsid w:val="52867736"/>
    <w:rsid w:val="52BE76AE"/>
    <w:rsid w:val="52CE5E95"/>
    <w:rsid w:val="52CF4419"/>
    <w:rsid w:val="530653DD"/>
    <w:rsid w:val="53124DA1"/>
    <w:rsid w:val="53396C24"/>
    <w:rsid w:val="535F6287"/>
    <w:rsid w:val="536153F0"/>
    <w:rsid w:val="537D3214"/>
    <w:rsid w:val="53A10A0B"/>
    <w:rsid w:val="53F378D8"/>
    <w:rsid w:val="540F129D"/>
    <w:rsid w:val="543742FB"/>
    <w:rsid w:val="543E2E38"/>
    <w:rsid w:val="54A46F6D"/>
    <w:rsid w:val="54D96004"/>
    <w:rsid w:val="55070ABE"/>
    <w:rsid w:val="557634E1"/>
    <w:rsid w:val="55A434E9"/>
    <w:rsid w:val="55D26BC3"/>
    <w:rsid w:val="55D62BEA"/>
    <w:rsid w:val="55E768BD"/>
    <w:rsid w:val="55EB37A1"/>
    <w:rsid w:val="55F5392F"/>
    <w:rsid w:val="55F932BC"/>
    <w:rsid w:val="5675402A"/>
    <w:rsid w:val="56827C3F"/>
    <w:rsid w:val="56B224C0"/>
    <w:rsid w:val="56CF6ACB"/>
    <w:rsid w:val="56EE42B6"/>
    <w:rsid w:val="5708400C"/>
    <w:rsid w:val="57183A74"/>
    <w:rsid w:val="573568EA"/>
    <w:rsid w:val="57773C92"/>
    <w:rsid w:val="57D1293C"/>
    <w:rsid w:val="57F95C2A"/>
    <w:rsid w:val="580C1DB1"/>
    <w:rsid w:val="582820C3"/>
    <w:rsid w:val="582A6D65"/>
    <w:rsid w:val="585C558C"/>
    <w:rsid w:val="587956F9"/>
    <w:rsid w:val="58A73AA6"/>
    <w:rsid w:val="58B05894"/>
    <w:rsid w:val="58B23052"/>
    <w:rsid w:val="58B81054"/>
    <w:rsid w:val="58BD53FE"/>
    <w:rsid w:val="58BF4FB7"/>
    <w:rsid w:val="58DD0CFA"/>
    <w:rsid w:val="58F4663F"/>
    <w:rsid w:val="58F97626"/>
    <w:rsid w:val="590C3076"/>
    <w:rsid w:val="59160132"/>
    <w:rsid w:val="59D85F30"/>
    <w:rsid w:val="59DD0C9A"/>
    <w:rsid w:val="59E74A49"/>
    <w:rsid w:val="59F34B37"/>
    <w:rsid w:val="59F55317"/>
    <w:rsid w:val="5A075E63"/>
    <w:rsid w:val="5A27573A"/>
    <w:rsid w:val="5A3E0EA1"/>
    <w:rsid w:val="5A4859E7"/>
    <w:rsid w:val="5A626EC9"/>
    <w:rsid w:val="5A8A1B4A"/>
    <w:rsid w:val="5AB61869"/>
    <w:rsid w:val="5ACF7E5C"/>
    <w:rsid w:val="5AF412E4"/>
    <w:rsid w:val="5B070BCF"/>
    <w:rsid w:val="5B203A22"/>
    <w:rsid w:val="5B527993"/>
    <w:rsid w:val="5B5C27B8"/>
    <w:rsid w:val="5B6670B3"/>
    <w:rsid w:val="5B693B9A"/>
    <w:rsid w:val="5B6B11E9"/>
    <w:rsid w:val="5B836D4E"/>
    <w:rsid w:val="5B8B6370"/>
    <w:rsid w:val="5B936B97"/>
    <w:rsid w:val="5B991D26"/>
    <w:rsid w:val="5BB115A2"/>
    <w:rsid w:val="5C1215B5"/>
    <w:rsid w:val="5C244D6B"/>
    <w:rsid w:val="5C290845"/>
    <w:rsid w:val="5C5950DF"/>
    <w:rsid w:val="5C5B3977"/>
    <w:rsid w:val="5C6717BA"/>
    <w:rsid w:val="5C746B0B"/>
    <w:rsid w:val="5CD61CA4"/>
    <w:rsid w:val="5CD83630"/>
    <w:rsid w:val="5CE94DC2"/>
    <w:rsid w:val="5CFC3977"/>
    <w:rsid w:val="5D0B50EF"/>
    <w:rsid w:val="5D337CB5"/>
    <w:rsid w:val="5D853F16"/>
    <w:rsid w:val="5DBB5C9E"/>
    <w:rsid w:val="5DBC2570"/>
    <w:rsid w:val="5E136AA0"/>
    <w:rsid w:val="5E2B2E38"/>
    <w:rsid w:val="5E2C3333"/>
    <w:rsid w:val="5E493798"/>
    <w:rsid w:val="5E586243"/>
    <w:rsid w:val="5E857D72"/>
    <w:rsid w:val="5E9B6FE6"/>
    <w:rsid w:val="5EB10408"/>
    <w:rsid w:val="5EC05A92"/>
    <w:rsid w:val="5EFD0E59"/>
    <w:rsid w:val="5F6931E6"/>
    <w:rsid w:val="5F7F1EE1"/>
    <w:rsid w:val="5F8C37BC"/>
    <w:rsid w:val="5FBB25F2"/>
    <w:rsid w:val="5FD92ADA"/>
    <w:rsid w:val="5FFB0B07"/>
    <w:rsid w:val="5FFE4F54"/>
    <w:rsid w:val="60560594"/>
    <w:rsid w:val="60611414"/>
    <w:rsid w:val="606176D2"/>
    <w:rsid w:val="60675F17"/>
    <w:rsid w:val="609A4B7B"/>
    <w:rsid w:val="61073138"/>
    <w:rsid w:val="61123463"/>
    <w:rsid w:val="618E1A80"/>
    <w:rsid w:val="61BF5B31"/>
    <w:rsid w:val="61F558B8"/>
    <w:rsid w:val="622D3443"/>
    <w:rsid w:val="62552982"/>
    <w:rsid w:val="62B123E4"/>
    <w:rsid w:val="62CD5C45"/>
    <w:rsid w:val="62D77A7F"/>
    <w:rsid w:val="62D850B9"/>
    <w:rsid w:val="630729D5"/>
    <w:rsid w:val="630D32AE"/>
    <w:rsid w:val="63A26CEB"/>
    <w:rsid w:val="63C56A23"/>
    <w:rsid w:val="63D76A9D"/>
    <w:rsid w:val="63F754F8"/>
    <w:rsid w:val="6474067C"/>
    <w:rsid w:val="649A7FE9"/>
    <w:rsid w:val="64CC496B"/>
    <w:rsid w:val="65174E17"/>
    <w:rsid w:val="651F09DF"/>
    <w:rsid w:val="652210EB"/>
    <w:rsid w:val="65794350"/>
    <w:rsid w:val="657D6472"/>
    <w:rsid w:val="659B6673"/>
    <w:rsid w:val="65C64580"/>
    <w:rsid w:val="66525880"/>
    <w:rsid w:val="66765696"/>
    <w:rsid w:val="669E66EB"/>
    <w:rsid w:val="66C95744"/>
    <w:rsid w:val="66E41FBE"/>
    <w:rsid w:val="66FB57CC"/>
    <w:rsid w:val="67090F98"/>
    <w:rsid w:val="673E4D9C"/>
    <w:rsid w:val="6740356B"/>
    <w:rsid w:val="67476CC8"/>
    <w:rsid w:val="675B2A11"/>
    <w:rsid w:val="67757E4A"/>
    <w:rsid w:val="679A5C28"/>
    <w:rsid w:val="67BA4A3A"/>
    <w:rsid w:val="67CF2170"/>
    <w:rsid w:val="67EC7A26"/>
    <w:rsid w:val="68143F2C"/>
    <w:rsid w:val="681F7678"/>
    <w:rsid w:val="68623565"/>
    <w:rsid w:val="686F3462"/>
    <w:rsid w:val="687A5204"/>
    <w:rsid w:val="687C48AE"/>
    <w:rsid w:val="68A74C99"/>
    <w:rsid w:val="68DB777F"/>
    <w:rsid w:val="68FD4E3A"/>
    <w:rsid w:val="6949590D"/>
    <w:rsid w:val="699026AD"/>
    <w:rsid w:val="69C26914"/>
    <w:rsid w:val="69CF6211"/>
    <w:rsid w:val="69E37B94"/>
    <w:rsid w:val="69E67729"/>
    <w:rsid w:val="6A4E42A1"/>
    <w:rsid w:val="6A632AD3"/>
    <w:rsid w:val="6A84509B"/>
    <w:rsid w:val="6A9816E9"/>
    <w:rsid w:val="6AA354C6"/>
    <w:rsid w:val="6ACC5319"/>
    <w:rsid w:val="6AD4151A"/>
    <w:rsid w:val="6ADD6771"/>
    <w:rsid w:val="6B083E55"/>
    <w:rsid w:val="6B57005C"/>
    <w:rsid w:val="6B8D3927"/>
    <w:rsid w:val="6B9B0681"/>
    <w:rsid w:val="6BB97111"/>
    <w:rsid w:val="6BCA6B66"/>
    <w:rsid w:val="6BD10292"/>
    <w:rsid w:val="6BD65086"/>
    <w:rsid w:val="6BDF6D43"/>
    <w:rsid w:val="6BE94CB0"/>
    <w:rsid w:val="6C247E67"/>
    <w:rsid w:val="6C427A82"/>
    <w:rsid w:val="6C595E57"/>
    <w:rsid w:val="6C630F37"/>
    <w:rsid w:val="6CA9025A"/>
    <w:rsid w:val="6CB564E8"/>
    <w:rsid w:val="6CB75BD6"/>
    <w:rsid w:val="6D045E4A"/>
    <w:rsid w:val="6D2E2594"/>
    <w:rsid w:val="6D2E55EA"/>
    <w:rsid w:val="6D364A56"/>
    <w:rsid w:val="6D507883"/>
    <w:rsid w:val="6DA901DD"/>
    <w:rsid w:val="6DAC3F16"/>
    <w:rsid w:val="6DC7239F"/>
    <w:rsid w:val="6DCF1523"/>
    <w:rsid w:val="6DE53954"/>
    <w:rsid w:val="6E2D7AEA"/>
    <w:rsid w:val="6E3B732E"/>
    <w:rsid w:val="6E437F85"/>
    <w:rsid w:val="6E4A2FA7"/>
    <w:rsid w:val="6E960A18"/>
    <w:rsid w:val="6ED07527"/>
    <w:rsid w:val="6F2F3B72"/>
    <w:rsid w:val="6F9C7DC6"/>
    <w:rsid w:val="6F9E17FF"/>
    <w:rsid w:val="6FA04405"/>
    <w:rsid w:val="6FC43F1A"/>
    <w:rsid w:val="6FEE3B27"/>
    <w:rsid w:val="6FFB4E81"/>
    <w:rsid w:val="70095140"/>
    <w:rsid w:val="701B26B0"/>
    <w:rsid w:val="701E56C1"/>
    <w:rsid w:val="70457740"/>
    <w:rsid w:val="70505934"/>
    <w:rsid w:val="706636AD"/>
    <w:rsid w:val="708320B8"/>
    <w:rsid w:val="70A52F0F"/>
    <w:rsid w:val="70BF6EAC"/>
    <w:rsid w:val="715B6DF0"/>
    <w:rsid w:val="716A74FE"/>
    <w:rsid w:val="71983FCC"/>
    <w:rsid w:val="71BE2868"/>
    <w:rsid w:val="71C70D0F"/>
    <w:rsid w:val="71C77393"/>
    <w:rsid w:val="71DA62D5"/>
    <w:rsid w:val="72544AD5"/>
    <w:rsid w:val="72834686"/>
    <w:rsid w:val="72BA37D1"/>
    <w:rsid w:val="72F04A82"/>
    <w:rsid w:val="72F6284E"/>
    <w:rsid w:val="73111840"/>
    <w:rsid w:val="732F5CE0"/>
    <w:rsid w:val="735F7A76"/>
    <w:rsid w:val="737C5636"/>
    <w:rsid w:val="73A020F1"/>
    <w:rsid w:val="73AB3864"/>
    <w:rsid w:val="73C734EC"/>
    <w:rsid w:val="73D72D54"/>
    <w:rsid w:val="749C342F"/>
    <w:rsid w:val="74A32466"/>
    <w:rsid w:val="74C20CC9"/>
    <w:rsid w:val="74D55F45"/>
    <w:rsid w:val="75213D60"/>
    <w:rsid w:val="75267B08"/>
    <w:rsid w:val="755406ED"/>
    <w:rsid w:val="756A1ED5"/>
    <w:rsid w:val="762B3711"/>
    <w:rsid w:val="763E33FE"/>
    <w:rsid w:val="765366C0"/>
    <w:rsid w:val="766C579E"/>
    <w:rsid w:val="76742C90"/>
    <w:rsid w:val="76820CCA"/>
    <w:rsid w:val="76A6708F"/>
    <w:rsid w:val="76C94304"/>
    <w:rsid w:val="76E01314"/>
    <w:rsid w:val="76F07D7C"/>
    <w:rsid w:val="77083036"/>
    <w:rsid w:val="77107791"/>
    <w:rsid w:val="7717199B"/>
    <w:rsid w:val="771A59E0"/>
    <w:rsid w:val="77262FA1"/>
    <w:rsid w:val="77AB5277"/>
    <w:rsid w:val="77D2588A"/>
    <w:rsid w:val="77FE601B"/>
    <w:rsid w:val="780073C7"/>
    <w:rsid w:val="781D210F"/>
    <w:rsid w:val="783F6CF0"/>
    <w:rsid w:val="784B0D1B"/>
    <w:rsid w:val="788F230F"/>
    <w:rsid w:val="78E44E0B"/>
    <w:rsid w:val="78EA2843"/>
    <w:rsid w:val="79170E28"/>
    <w:rsid w:val="795C052D"/>
    <w:rsid w:val="796E5DDD"/>
    <w:rsid w:val="798551A7"/>
    <w:rsid w:val="79A00331"/>
    <w:rsid w:val="79B867A5"/>
    <w:rsid w:val="79BC6710"/>
    <w:rsid w:val="79D9246E"/>
    <w:rsid w:val="79F958D3"/>
    <w:rsid w:val="7A092DFE"/>
    <w:rsid w:val="7A4C292E"/>
    <w:rsid w:val="7AB76F30"/>
    <w:rsid w:val="7ABD2964"/>
    <w:rsid w:val="7AD83B23"/>
    <w:rsid w:val="7B092A56"/>
    <w:rsid w:val="7B1866B0"/>
    <w:rsid w:val="7B26545E"/>
    <w:rsid w:val="7B3576ED"/>
    <w:rsid w:val="7B3C0F81"/>
    <w:rsid w:val="7B5E07DF"/>
    <w:rsid w:val="7BB267C4"/>
    <w:rsid w:val="7C260C58"/>
    <w:rsid w:val="7C381B91"/>
    <w:rsid w:val="7C6F6035"/>
    <w:rsid w:val="7D0A4DD0"/>
    <w:rsid w:val="7D29035F"/>
    <w:rsid w:val="7DC20FD0"/>
    <w:rsid w:val="7DD97376"/>
    <w:rsid w:val="7DDA3C6D"/>
    <w:rsid w:val="7DDD3DB1"/>
    <w:rsid w:val="7E2F79DD"/>
    <w:rsid w:val="7E4B6D51"/>
    <w:rsid w:val="7E897169"/>
    <w:rsid w:val="7F04182C"/>
    <w:rsid w:val="7F0471AE"/>
    <w:rsid w:val="7F435AE3"/>
    <w:rsid w:val="7F49525D"/>
    <w:rsid w:val="7F6902E1"/>
    <w:rsid w:val="7F697FDE"/>
    <w:rsid w:val="7F716C7F"/>
    <w:rsid w:val="7FA32FAB"/>
    <w:rsid w:val="7FB46227"/>
    <w:rsid w:val="7FC43A73"/>
    <w:rsid w:val="7FE17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sz w:val="32"/>
      <w:szCs w:val="32"/>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页脚 字符"/>
    <w:basedOn w:val="9"/>
    <w:qFormat/>
    <w:uiPriority w:val="0"/>
    <w:rPr>
      <w:rFonts w:ascii="Arial Unicode MS" w:hAnsi="Arial Unicode MS" w:eastAsia="Arial Unicode MS" w:cs="Arial Unicode MS"/>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2021-08-31T01:09:00Z</dcterms:created>
  <dc:creator>Administrator</dc:creator>
  <cp:lastModifiedBy>刘波</cp:lastModifiedBy>
  <cp:lastPrinted>2021-09-27T02:23:00Z</cp:lastPrinted>
  <dcterms:modified xsi:type="dcterms:W3CDTF">2021-09-30T00:56:43Z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EED05CEA200D4403A3DCB0EFF85B6FE6</vt:lpwstr>
  </property>
</Properties>
</file>